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F1" w:rsidRPr="002B7BB4" w:rsidRDefault="002E329C" w:rsidP="006567F1">
      <w:pPr>
        <w:spacing w:line="240" w:lineRule="auto"/>
        <w:contextualSpacing/>
        <w:rPr>
          <w:b/>
        </w:rPr>
      </w:pPr>
      <w:r>
        <w:rPr>
          <w:b/>
        </w:rPr>
        <w:t>Emily Griffith High School</w:t>
      </w:r>
      <w:r w:rsidR="006567F1" w:rsidRPr="002B7BB4">
        <w:rPr>
          <w:b/>
        </w:rPr>
        <w:t xml:space="preserve"> – State SPF Summary</w:t>
      </w:r>
    </w:p>
    <w:tbl>
      <w:tblPr>
        <w:tblStyle w:val="TableGrid"/>
        <w:tblW w:w="0" w:type="auto"/>
        <w:tblLook w:val="04A0" w:firstRow="1" w:lastRow="0" w:firstColumn="1" w:lastColumn="0" w:noHBand="0" w:noVBand="1"/>
      </w:tblPr>
      <w:tblGrid>
        <w:gridCol w:w="4675"/>
        <w:gridCol w:w="4675"/>
      </w:tblGrid>
      <w:tr w:rsidR="00B67BCC" w:rsidTr="006567F1">
        <w:tc>
          <w:tcPr>
            <w:tcW w:w="4675" w:type="dxa"/>
            <w:shd w:val="clear" w:color="auto" w:fill="auto"/>
          </w:tcPr>
          <w:p w:rsidR="00B67BCC" w:rsidRDefault="00B67BCC" w:rsidP="00D007AE">
            <w:pPr>
              <w:contextualSpacing/>
              <w:rPr>
                <w:b/>
              </w:rPr>
            </w:pPr>
            <w:r>
              <w:rPr>
                <w:b/>
              </w:rPr>
              <w:t>State SPF Rating</w:t>
            </w:r>
          </w:p>
        </w:tc>
        <w:tc>
          <w:tcPr>
            <w:tcW w:w="4675" w:type="dxa"/>
            <w:shd w:val="clear" w:color="auto" w:fill="auto"/>
          </w:tcPr>
          <w:p w:rsidR="00B67BCC" w:rsidRDefault="00B67BCC" w:rsidP="00D007AE">
            <w:pPr>
              <w:contextualSpacing/>
              <w:rPr>
                <w:b/>
              </w:rPr>
            </w:pPr>
            <w:r>
              <w:rPr>
                <w:b/>
              </w:rPr>
              <w:t>DPS SPF Rating</w:t>
            </w:r>
          </w:p>
        </w:tc>
      </w:tr>
      <w:tr w:rsidR="006567F1" w:rsidTr="00C8384F">
        <w:tc>
          <w:tcPr>
            <w:tcW w:w="4675" w:type="dxa"/>
            <w:shd w:val="clear" w:color="auto" w:fill="ED7D31" w:themeFill="accent2"/>
          </w:tcPr>
          <w:p w:rsidR="006567F1" w:rsidRDefault="00C8384F" w:rsidP="00D007AE">
            <w:pPr>
              <w:contextualSpacing/>
              <w:rPr>
                <w:b/>
              </w:rPr>
            </w:pPr>
            <w:r>
              <w:rPr>
                <w:b/>
              </w:rPr>
              <w:t>AEC Priority Improvement</w:t>
            </w:r>
          </w:p>
        </w:tc>
        <w:tc>
          <w:tcPr>
            <w:tcW w:w="4675" w:type="dxa"/>
            <w:shd w:val="clear" w:color="auto" w:fill="FFC000"/>
          </w:tcPr>
          <w:p w:rsidR="006567F1" w:rsidRDefault="006567F1" w:rsidP="00D007AE">
            <w:pPr>
              <w:contextualSpacing/>
              <w:rPr>
                <w:b/>
              </w:rPr>
            </w:pPr>
            <w:r>
              <w:rPr>
                <w:b/>
              </w:rPr>
              <w:t>Accredited on Watch</w:t>
            </w:r>
          </w:p>
        </w:tc>
      </w:tr>
    </w:tbl>
    <w:p w:rsidR="002755A5" w:rsidRDefault="002755A5" w:rsidP="00D007AE">
      <w:pPr>
        <w:spacing w:line="240" w:lineRule="auto"/>
        <w:contextualSpacing/>
      </w:pPr>
    </w:p>
    <w:p w:rsidR="00D007AE" w:rsidRDefault="00D007AE" w:rsidP="00D007AE">
      <w:pPr>
        <w:spacing w:line="240" w:lineRule="auto"/>
        <w:contextualSpacing/>
      </w:pPr>
      <w:r>
        <w:t xml:space="preserve">On the State’s 2018 AEC SPF framework, </w:t>
      </w:r>
      <w:r w:rsidR="002E329C">
        <w:t>Emily Griffith</w:t>
      </w:r>
      <w:r w:rsidR="00C8384F">
        <w:t xml:space="preserve"> High School</w:t>
      </w:r>
      <w:r>
        <w:t xml:space="preserve"> earned a rating of AEC: </w:t>
      </w:r>
      <w:r w:rsidR="00C8384F">
        <w:t>Priority Improvement</w:t>
      </w:r>
      <w:r w:rsidR="002E329C">
        <w:t xml:space="preserve"> and earned 29.37</w:t>
      </w:r>
      <w:r>
        <w:t xml:space="preserve"> </w:t>
      </w:r>
      <w:r w:rsidR="00C8384F">
        <w:t>out of 85</w:t>
      </w:r>
      <w:r>
        <w:t xml:space="preserve"> points possible.  This rating is based on the school’s performance on 4 indicators:</w:t>
      </w:r>
    </w:p>
    <w:p w:rsidR="00D007AE" w:rsidRDefault="00D007AE" w:rsidP="00D007AE">
      <w:pPr>
        <w:pStyle w:val="ListParagraph"/>
        <w:numPr>
          <w:ilvl w:val="0"/>
          <w:numId w:val="1"/>
        </w:numPr>
        <w:spacing w:line="240" w:lineRule="auto"/>
      </w:pPr>
      <w:r>
        <w:t>Academic Achievement (Status)</w:t>
      </w:r>
      <w:r w:rsidR="00CB57EC">
        <w:t xml:space="preserve"> – worth 15 points</w:t>
      </w:r>
    </w:p>
    <w:p w:rsidR="00D007AE" w:rsidRDefault="00D007AE" w:rsidP="00D007AE">
      <w:pPr>
        <w:pStyle w:val="ListParagraph"/>
        <w:numPr>
          <w:ilvl w:val="0"/>
          <w:numId w:val="1"/>
        </w:numPr>
        <w:spacing w:line="240" w:lineRule="auto"/>
      </w:pPr>
      <w:r>
        <w:t>Academic Growth (Growth)</w:t>
      </w:r>
      <w:r w:rsidR="00CB57EC">
        <w:t xml:space="preserve"> – worth 35 points </w:t>
      </w:r>
    </w:p>
    <w:p w:rsidR="00D007AE" w:rsidRDefault="00D007AE" w:rsidP="00D007AE">
      <w:pPr>
        <w:pStyle w:val="ListParagraph"/>
        <w:numPr>
          <w:ilvl w:val="0"/>
          <w:numId w:val="1"/>
        </w:numPr>
        <w:spacing w:line="240" w:lineRule="auto"/>
      </w:pPr>
      <w:r>
        <w:t>Student Engagement (Family and Student Engagement &amp; Satisfaction)</w:t>
      </w:r>
      <w:r w:rsidR="00CB57EC">
        <w:t xml:space="preserve"> – worth 20 points</w:t>
      </w:r>
    </w:p>
    <w:p w:rsidR="00D007AE" w:rsidRDefault="00D007AE" w:rsidP="00D007AE">
      <w:pPr>
        <w:pStyle w:val="ListParagraph"/>
        <w:numPr>
          <w:ilvl w:val="0"/>
          <w:numId w:val="1"/>
        </w:numPr>
        <w:spacing w:line="240" w:lineRule="auto"/>
      </w:pPr>
      <w:r>
        <w:t>Postsecondary &amp; Workforce Readiness (PSR)</w:t>
      </w:r>
      <w:r w:rsidR="00CB57EC">
        <w:t xml:space="preserve"> – worth 30 points</w:t>
      </w:r>
    </w:p>
    <w:p w:rsidR="00CB57EC" w:rsidRDefault="002E329C" w:rsidP="00CB57EC">
      <w:pPr>
        <w:spacing w:line="240" w:lineRule="auto"/>
      </w:pPr>
      <w:r>
        <w:t>Emily Griffith</w:t>
      </w:r>
      <w:r w:rsidR="00C8384F">
        <w:t xml:space="preserve"> didn’t meet the State’s eligibility requirements for the Academic </w:t>
      </w:r>
      <w:r>
        <w:t>Growth</w:t>
      </w:r>
      <w:r w:rsidR="00C8384F">
        <w:t xml:space="preserve"> and as such that entire indicator was dropped from their CDE SPF.  On the r</w:t>
      </w:r>
      <w:r w:rsidR="009451C6">
        <w:t>emaining three indicators, EGHS</w:t>
      </w:r>
      <w:r w:rsidR="00C8384F">
        <w:t xml:space="preserve"> earned </w:t>
      </w:r>
      <w:r>
        <w:t>Meets on Academic Achievement</w:t>
      </w:r>
      <w:r w:rsidR="00C8384F">
        <w:t xml:space="preserve"> and </w:t>
      </w:r>
      <w:r>
        <w:t xml:space="preserve">Approaching on </w:t>
      </w:r>
      <w:r w:rsidR="00C8384F">
        <w:t xml:space="preserve">Postsecondary &amp; Workforce Readiness and Does Not Meet on Student Engagement.  As their rating was based on fewer overall points than most AECs, the Red rating for Student Engagement was enough to drop </w:t>
      </w:r>
      <w:r>
        <w:t>Emily Griffith</w:t>
      </w:r>
      <w:r w:rsidR="00C8384F">
        <w:t xml:space="preserve"> below the Approaching threshold and into Priority Improvement (Orange).</w:t>
      </w:r>
    </w:p>
    <w:p w:rsidR="006567F1" w:rsidRDefault="00D007AE" w:rsidP="002B7BB4">
      <w:pPr>
        <w:spacing w:line="240" w:lineRule="auto"/>
        <w:contextualSpacing/>
      </w:pPr>
      <w:r w:rsidRPr="002B7BB4">
        <w:rPr>
          <w:b/>
        </w:rPr>
        <w:t xml:space="preserve">Academic </w:t>
      </w:r>
      <w:r w:rsidRPr="002755A5">
        <w:rPr>
          <w:b/>
        </w:rPr>
        <w:t>Achievement</w:t>
      </w:r>
      <w:r w:rsidR="00CB57EC" w:rsidRPr="002755A5">
        <w:rPr>
          <w:b/>
        </w:rPr>
        <w:t xml:space="preserve"> </w:t>
      </w:r>
      <w:r w:rsidR="002755A5" w:rsidRPr="002755A5">
        <w:rPr>
          <w:b/>
        </w:rPr>
        <w:t>Indicator</w:t>
      </w:r>
    </w:p>
    <w:p w:rsidR="006567F1" w:rsidRPr="006567F1" w:rsidRDefault="006567F1" w:rsidP="002B7BB4">
      <w:pPr>
        <w:spacing w:line="240" w:lineRule="auto"/>
        <w:contextualSpacing/>
        <w:rPr>
          <w:b/>
        </w:rPr>
      </w:pPr>
      <w:r w:rsidRPr="006567F1">
        <w:rPr>
          <w:b/>
        </w:rPr>
        <w:t>CMAS Science</w:t>
      </w:r>
    </w:p>
    <w:p w:rsidR="002755A5" w:rsidRDefault="00B67BCC" w:rsidP="006567F1">
      <w:pPr>
        <w:spacing w:line="240" w:lineRule="auto"/>
        <w:contextualSpacing/>
      </w:pPr>
      <w:r w:rsidRPr="006567F1">
        <w:rPr>
          <w:u w:val="single"/>
        </w:rPr>
        <w:t>Methodology:</w:t>
      </w:r>
      <w:r>
        <w:t xml:space="preserve"> </w:t>
      </w:r>
      <w:r w:rsidR="009A7E8E">
        <w:t>CMAS Sc</w:t>
      </w:r>
      <w:r w:rsidR="001D0BF8">
        <w:t xml:space="preserve">ience is rated using the mean scale score for all eligible students pooled across the most recent 3 years of data.  This includes both regular CMAS and </w:t>
      </w:r>
      <w:proofErr w:type="spellStart"/>
      <w:r w:rsidR="001D0BF8">
        <w:t>CoAlt</w:t>
      </w:r>
      <w:proofErr w:type="spellEnd"/>
      <w:r w:rsidR="001D0BF8">
        <w:t>.  In order to be eligible for the measure a student must have a valid test score from at least one year in the pool, be continuously enrolled at the school between October Count and the testing window, and be in a tested grade as of the testing window (i.e. in grade 11 when CMAS Science was given).</w:t>
      </w:r>
      <w:r w:rsidR="002B7BB4">
        <w:t xml:space="preserve">  </w:t>
      </w:r>
    </w:p>
    <w:p w:rsidR="002755A5" w:rsidRDefault="002755A5" w:rsidP="006567F1">
      <w:pPr>
        <w:spacing w:line="240" w:lineRule="auto"/>
        <w:contextualSpacing/>
      </w:pPr>
    </w:p>
    <w:tbl>
      <w:tblPr>
        <w:tblStyle w:val="TableGrid"/>
        <w:tblW w:w="0" w:type="auto"/>
        <w:tblLook w:val="04A0" w:firstRow="1" w:lastRow="0" w:firstColumn="1" w:lastColumn="0" w:noHBand="0" w:noVBand="1"/>
      </w:tblPr>
      <w:tblGrid>
        <w:gridCol w:w="4675"/>
        <w:gridCol w:w="4675"/>
      </w:tblGrid>
      <w:tr w:rsidR="00543C90" w:rsidTr="00543C90">
        <w:tc>
          <w:tcPr>
            <w:tcW w:w="9350" w:type="dxa"/>
            <w:gridSpan w:val="2"/>
            <w:shd w:val="clear" w:color="auto" w:fill="D0CECE" w:themeFill="background2" w:themeFillShade="E6"/>
          </w:tcPr>
          <w:p w:rsidR="00543C90" w:rsidRPr="00543C90" w:rsidRDefault="00543C90" w:rsidP="00543C90">
            <w:pPr>
              <w:contextualSpacing/>
              <w:jc w:val="center"/>
              <w:rPr>
                <w:b/>
              </w:rPr>
            </w:pPr>
            <w:r w:rsidRPr="00543C90">
              <w:rPr>
                <w:b/>
              </w:rPr>
              <w:t>State SPF CMAS Science Cut Points</w:t>
            </w:r>
          </w:p>
        </w:tc>
      </w:tr>
      <w:tr w:rsidR="00543C90" w:rsidTr="00543C90">
        <w:tc>
          <w:tcPr>
            <w:tcW w:w="4675" w:type="dxa"/>
            <w:shd w:val="clear" w:color="auto" w:fill="FF0000"/>
          </w:tcPr>
          <w:p w:rsidR="00543C90" w:rsidRDefault="00543C90" w:rsidP="002B7BB4">
            <w:pPr>
              <w:contextualSpacing/>
            </w:pPr>
            <w:r>
              <w:t>Does Not Meet</w:t>
            </w:r>
          </w:p>
        </w:tc>
        <w:tc>
          <w:tcPr>
            <w:tcW w:w="4675" w:type="dxa"/>
          </w:tcPr>
          <w:p w:rsidR="00543C90" w:rsidRDefault="002E5CDA" w:rsidP="002B7BB4">
            <w:pPr>
              <w:contextualSpacing/>
            </w:pPr>
            <w:r>
              <w:t>&lt;</w:t>
            </w:r>
            <w:r w:rsidR="00543C90">
              <w:t>503</w:t>
            </w:r>
          </w:p>
        </w:tc>
      </w:tr>
      <w:tr w:rsidR="00543C90" w:rsidTr="00543C90">
        <w:tc>
          <w:tcPr>
            <w:tcW w:w="4675" w:type="dxa"/>
            <w:shd w:val="clear" w:color="auto" w:fill="FFC000"/>
          </w:tcPr>
          <w:p w:rsidR="00543C90" w:rsidRDefault="00543C90" w:rsidP="002B7BB4">
            <w:pPr>
              <w:contextualSpacing/>
            </w:pPr>
            <w:r>
              <w:t>Approaching</w:t>
            </w:r>
          </w:p>
        </w:tc>
        <w:tc>
          <w:tcPr>
            <w:tcW w:w="4675" w:type="dxa"/>
          </w:tcPr>
          <w:p w:rsidR="00543C90" w:rsidRDefault="00543C90" w:rsidP="002B7BB4">
            <w:pPr>
              <w:contextualSpacing/>
            </w:pPr>
            <w:r>
              <w:t>&lt;515 and &gt;=503</w:t>
            </w:r>
          </w:p>
        </w:tc>
      </w:tr>
      <w:tr w:rsidR="00543C90" w:rsidTr="00543C90">
        <w:tc>
          <w:tcPr>
            <w:tcW w:w="4675" w:type="dxa"/>
            <w:shd w:val="clear" w:color="auto" w:fill="92D050"/>
          </w:tcPr>
          <w:p w:rsidR="00543C90" w:rsidRDefault="00543C90" w:rsidP="002B7BB4">
            <w:pPr>
              <w:contextualSpacing/>
            </w:pPr>
            <w:r>
              <w:t>Meets</w:t>
            </w:r>
          </w:p>
        </w:tc>
        <w:tc>
          <w:tcPr>
            <w:tcW w:w="4675" w:type="dxa"/>
          </w:tcPr>
          <w:p w:rsidR="00543C90" w:rsidRDefault="00543C90" w:rsidP="002B7BB4">
            <w:pPr>
              <w:contextualSpacing/>
            </w:pPr>
            <w:r>
              <w:t>&lt;577 and &gt;=515</w:t>
            </w:r>
          </w:p>
        </w:tc>
      </w:tr>
      <w:tr w:rsidR="00543C90" w:rsidTr="00543C90">
        <w:tc>
          <w:tcPr>
            <w:tcW w:w="4675" w:type="dxa"/>
            <w:shd w:val="clear" w:color="auto" w:fill="00B0F0"/>
          </w:tcPr>
          <w:p w:rsidR="00543C90" w:rsidRDefault="00543C90" w:rsidP="002B7BB4">
            <w:pPr>
              <w:contextualSpacing/>
            </w:pPr>
            <w:r>
              <w:t>Exceeds</w:t>
            </w:r>
          </w:p>
        </w:tc>
        <w:tc>
          <w:tcPr>
            <w:tcW w:w="4675" w:type="dxa"/>
          </w:tcPr>
          <w:p w:rsidR="00543C90" w:rsidRDefault="00543C90" w:rsidP="002B7BB4">
            <w:pPr>
              <w:contextualSpacing/>
            </w:pPr>
            <w:r>
              <w:t>&gt;=577</w:t>
            </w:r>
          </w:p>
        </w:tc>
      </w:tr>
    </w:tbl>
    <w:p w:rsidR="002755A5" w:rsidRDefault="002755A5" w:rsidP="006567F1">
      <w:pPr>
        <w:spacing w:line="240" w:lineRule="auto"/>
        <w:rPr>
          <w:u w:val="single"/>
        </w:rPr>
      </w:pPr>
    </w:p>
    <w:p w:rsidR="006567F1" w:rsidRDefault="002A101D" w:rsidP="006567F1">
      <w:pPr>
        <w:spacing w:line="240" w:lineRule="auto"/>
      </w:pPr>
      <w:r>
        <w:rPr>
          <w:u w:val="single"/>
        </w:rPr>
        <w:t>EGHS</w:t>
      </w:r>
      <w:r w:rsidR="006567F1" w:rsidRPr="006567F1">
        <w:rPr>
          <w:u w:val="single"/>
        </w:rPr>
        <w:t xml:space="preserve"> Results:</w:t>
      </w:r>
      <w:r w:rsidR="006567F1">
        <w:t xml:space="preserve"> </w:t>
      </w:r>
      <w:r>
        <w:t>On this year’s CDE SPF, EGHS had 59 eligible students in this measure with a mean scale score of 541.5.  This was smack in the middle of the State’s Meets rating band.</w:t>
      </w:r>
    </w:p>
    <w:p w:rsidR="006567F1" w:rsidRPr="006567F1" w:rsidRDefault="006567F1" w:rsidP="00543C90">
      <w:pPr>
        <w:spacing w:line="240" w:lineRule="auto"/>
        <w:contextualSpacing/>
        <w:rPr>
          <w:b/>
        </w:rPr>
      </w:pPr>
      <w:r w:rsidRPr="006567F1">
        <w:rPr>
          <w:b/>
        </w:rPr>
        <w:t>COPSAT EBRW and Math</w:t>
      </w:r>
    </w:p>
    <w:p w:rsidR="006567F1" w:rsidRDefault="00B67BCC" w:rsidP="002B7BB4">
      <w:pPr>
        <w:spacing w:line="240" w:lineRule="auto"/>
        <w:contextualSpacing/>
      </w:pPr>
      <w:r w:rsidRPr="006567F1">
        <w:rPr>
          <w:u w:val="single"/>
        </w:rPr>
        <w:t>Methodology:</w:t>
      </w:r>
      <w:r>
        <w:t xml:space="preserve"> </w:t>
      </w:r>
      <w:r w:rsidR="001D0BF8">
        <w:t xml:space="preserve">COPSAT EBRW and Math </w:t>
      </w:r>
      <w:r w:rsidR="002B7BB4">
        <w:t xml:space="preserve">are calculated similarly.  These measures are also based on a 3 year pool of data and utilize a mean scale score of all eligible students which is also defined the same way as CMAS Science.  Starting this year, there are two COPSAT tests: PSAT9 and PSAT10. The CDE combines these two tests into a single dataset when calculating a school’s mean scale score.  It is also worth noting that while the measure is designed to use 3 years of data, PSAT9 is a brand new test.  As a result there is only one year of PSAT9 data to include in the measure.  PSAT10 has the full 3 years of data available and included in this measure’s results.  </w:t>
      </w:r>
    </w:p>
    <w:p w:rsidR="002A101D" w:rsidRDefault="002A101D" w:rsidP="002B7BB4">
      <w:pPr>
        <w:spacing w:line="240" w:lineRule="auto"/>
        <w:contextualSpacing/>
      </w:pPr>
    </w:p>
    <w:p w:rsidR="002A101D" w:rsidRDefault="002A101D" w:rsidP="002B7BB4">
      <w:pPr>
        <w:spacing w:line="240" w:lineRule="auto"/>
        <w:contextualSpacing/>
      </w:pPr>
    </w:p>
    <w:p w:rsidR="002755A5" w:rsidRDefault="002755A5" w:rsidP="002B7BB4">
      <w:pPr>
        <w:spacing w:line="240" w:lineRule="auto"/>
        <w:contextualSpacing/>
      </w:pPr>
    </w:p>
    <w:tbl>
      <w:tblPr>
        <w:tblStyle w:val="TableGrid"/>
        <w:tblW w:w="0" w:type="auto"/>
        <w:tblLook w:val="04A0" w:firstRow="1" w:lastRow="0" w:firstColumn="1" w:lastColumn="0" w:noHBand="0" w:noVBand="1"/>
      </w:tblPr>
      <w:tblGrid>
        <w:gridCol w:w="4675"/>
        <w:gridCol w:w="4675"/>
      </w:tblGrid>
      <w:tr w:rsidR="00543C90" w:rsidTr="000F5F62">
        <w:tc>
          <w:tcPr>
            <w:tcW w:w="9350" w:type="dxa"/>
            <w:gridSpan w:val="2"/>
            <w:shd w:val="clear" w:color="auto" w:fill="D0CECE" w:themeFill="background2" w:themeFillShade="E6"/>
          </w:tcPr>
          <w:p w:rsidR="00543C90" w:rsidRPr="00543C90" w:rsidRDefault="00543C90" w:rsidP="00543C90">
            <w:pPr>
              <w:contextualSpacing/>
              <w:jc w:val="center"/>
              <w:rPr>
                <w:b/>
              </w:rPr>
            </w:pPr>
            <w:r w:rsidRPr="00543C90">
              <w:rPr>
                <w:b/>
              </w:rPr>
              <w:lastRenderedPageBreak/>
              <w:t xml:space="preserve">State SPF </w:t>
            </w:r>
            <w:r>
              <w:rPr>
                <w:b/>
              </w:rPr>
              <w:t>PSAT9/10 EBRW</w:t>
            </w:r>
            <w:r w:rsidRPr="00543C90">
              <w:rPr>
                <w:b/>
              </w:rPr>
              <w:t xml:space="preserve"> Cut Points</w:t>
            </w:r>
          </w:p>
        </w:tc>
      </w:tr>
      <w:tr w:rsidR="00543C90" w:rsidTr="000F5F62">
        <w:tc>
          <w:tcPr>
            <w:tcW w:w="4675" w:type="dxa"/>
            <w:shd w:val="clear" w:color="auto" w:fill="FF0000"/>
          </w:tcPr>
          <w:p w:rsidR="00543C90" w:rsidRDefault="00543C90" w:rsidP="000F5F62">
            <w:pPr>
              <w:contextualSpacing/>
            </w:pPr>
            <w:r>
              <w:t>Does Not Meet</w:t>
            </w:r>
          </w:p>
        </w:tc>
        <w:tc>
          <w:tcPr>
            <w:tcW w:w="4675" w:type="dxa"/>
          </w:tcPr>
          <w:p w:rsidR="00543C90" w:rsidRDefault="002E5CDA" w:rsidP="000F5F62">
            <w:pPr>
              <w:contextualSpacing/>
            </w:pPr>
            <w:r>
              <w:t>&lt;</w:t>
            </w:r>
            <w:r w:rsidR="00543C90">
              <w:t>383.8</w:t>
            </w:r>
          </w:p>
        </w:tc>
      </w:tr>
      <w:tr w:rsidR="00543C90" w:rsidTr="000F5F62">
        <w:tc>
          <w:tcPr>
            <w:tcW w:w="4675" w:type="dxa"/>
            <w:shd w:val="clear" w:color="auto" w:fill="FFC000"/>
          </w:tcPr>
          <w:p w:rsidR="00543C90" w:rsidRDefault="00543C90" w:rsidP="000F5F62">
            <w:pPr>
              <w:contextualSpacing/>
            </w:pPr>
            <w:r>
              <w:t>Approaching</w:t>
            </w:r>
          </w:p>
        </w:tc>
        <w:tc>
          <w:tcPr>
            <w:tcW w:w="4675" w:type="dxa"/>
          </w:tcPr>
          <w:p w:rsidR="00543C90" w:rsidRDefault="00543C90" w:rsidP="000F5F62">
            <w:pPr>
              <w:contextualSpacing/>
            </w:pPr>
            <w:r>
              <w:t>&lt;394.5 and &gt;=383.8</w:t>
            </w:r>
          </w:p>
        </w:tc>
      </w:tr>
      <w:tr w:rsidR="00543C90" w:rsidTr="000F5F62">
        <w:tc>
          <w:tcPr>
            <w:tcW w:w="4675" w:type="dxa"/>
            <w:shd w:val="clear" w:color="auto" w:fill="92D050"/>
          </w:tcPr>
          <w:p w:rsidR="00543C90" w:rsidRDefault="00543C90" w:rsidP="000F5F62">
            <w:pPr>
              <w:contextualSpacing/>
            </w:pPr>
            <w:r>
              <w:t>Meets</w:t>
            </w:r>
          </w:p>
        </w:tc>
        <w:tc>
          <w:tcPr>
            <w:tcW w:w="4675" w:type="dxa"/>
          </w:tcPr>
          <w:p w:rsidR="00543C90" w:rsidRDefault="00543C90" w:rsidP="000F5F62">
            <w:pPr>
              <w:contextualSpacing/>
            </w:pPr>
            <w:r>
              <w:t>&lt;425.3 and &gt;=394.5</w:t>
            </w:r>
          </w:p>
        </w:tc>
      </w:tr>
      <w:tr w:rsidR="00543C90" w:rsidTr="000F5F62">
        <w:tc>
          <w:tcPr>
            <w:tcW w:w="4675" w:type="dxa"/>
            <w:shd w:val="clear" w:color="auto" w:fill="00B0F0"/>
          </w:tcPr>
          <w:p w:rsidR="00543C90" w:rsidRDefault="00543C90" w:rsidP="000F5F62">
            <w:pPr>
              <w:contextualSpacing/>
            </w:pPr>
            <w:r>
              <w:t>Exceeds</w:t>
            </w:r>
          </w:p>
        </w:tc>
        <w:tc>
          <w:tcPr>
            <w:tcW w:w="4675" w:type="dxa"/>
          </w:tcPr>
          <w:p w:rsidR="00543C90" w:rsidRDefault="00543C90" w:rsidP="000F5F62">
            <w:pPr>
              <w:contextualSpacing/>
            </w:pPr>
            <w:r>
              <w:t>&gt;=425.3</w:t>
            </w:r>
          </w:p>
        </w:tc>
      </w:tr>
    </w:tbl>
    <w:p w:rsidR="00543C90" w:rsidRDefault="00543C90" w:rsidP="002B7BB4">
      <w:pPr>
        <w:spacing w:line="240" w:lineRule="auto"/>
        <w:contextualSpacing/>
      </w:pPr>
    </w:p>
    <w:tbl>
      <w:tblPr>
        <w:tblStyle w:val="TableGrid"/>
        <w:tblW w:w="0" w:type="auto"/>
        <w:tblLook w:val="04A0" w:firstRow="1" w:lastRow="0" w:firstColumn="1" w:lastColumn="0" w:noHBand="0" w:noVBand="1"/>
      </w:tblPr>
      <w:tblGrid>
        <w:gridCol w:w="4675"/>
        <w:gridCol w:w="4675"/>
      </w:tblGrid>
      <w:tr w:rsidR="00543C90" w:rsidTr="000F5F62">
        <w:tc>
          <w:tcPr>
            <w:tcW w:w="9350" w:type="dxa"/>
            <w:gridSpan w:val="2"/>
            <w:shd w:val="clear" w:color="auto" w:fill="D0CECE" w:themeFill="background2" w:themeFillShade="E6"/>
          </w:tcPr>
          <w:p w:rsidR="00543C90" w:rsidRPr="00543C90" w:rsidRDefault="00543C90" w:rsidP="000F5F62">
            <w:pPr>
              <w:contextualSpacing/>
              <w:jc w:val="center"/>
              <w:rPr>
                <w:b/>
              </w:rPr>
            </w:pPr>
            <w:r w:rsidRPr="00543C90">
              <w:rPr>
                <w:b/>
              </w:rPr>
              <w:t xml:space="preserve">State SPF </w:t>
            </w:r>
            <w:r>
              <w:rPr>
                <w:b/>
              </w:rPr>
              <w:t xml:space="preserve">PSAT9/10 Math </w:t>
            </w:r>
            <w:r w:rsidRPr="00543C90">
              <w:rPr>
                <w:b/>
              </w:rPr>
              <w:t>Cut Points</w:t>
            </w:r>
          </w:p>
        </w:tc>
      </w:tr>
      <w:tr w:rsidR="00543C90" w:rsidTr="000F5F62">
        <w:tc>
          <w:tcPr>
            <w:tcW w:w="4675" w:type="dxa"/>
            <w:shd w:val="clear" w:color="auto" w:fill="FF0000"/>
          </w:tcPr>
          <w:p w:rsidR="00543C90" w:rsidRDefault="00543C90" w:rsidP="000F5F62">
            <w:pPr>
              <w:contextualSpacing/>
            </w:pPr>
            <w:r>
              <w:t>Does Not Meet</w:t>
            </w:r>
          </w:p>
        </w:tc>
        <w:tc>
          <w:tcPr>
            <w:tcW w:w="4675" w:type="dxa"/>
          </w:tcPr>
          <w:p w:rsidR="00543C90" w:rsidRDefault="002E5CDA" w:rsidP="000F5F62">
            <w:pPr>
              <w:contextualSpacing/>
            </w:pPr>
            <w:r>
              <w:t>&lt;</w:t>
            </w:r>
            <w:r w:rsidR="00543C90">
              <w:t>378.2</w:t>
            </w:r>
          </w:p>
        </w:tc>
      </w:tr>
      <w:tr w:rsidR="00543C90" w:rsidTr="000F5F62">
        <w:tc>
          <w:tcPr>
            <w:tcW w:w="4675" w:type="dxa"/>
            <w:shd w:val="clear" w:color="auto" w:fill="FFC000"/>
          </w:tcPr>
          <w:p w:rsidR="00543C90" w:rsidRDefault="00543C90" w:rsidP="000F5F62">
            <w:pPr>
              <w:contextualSpacing/>
            </w:pPr>
            <w:r>
              <w:t>Approaching</w:t>
            </w:r>
          </w:p>
        </w:tc>
        <w:tc>
          <w:tcPr>
            <w:tcW w:w="4675" w:type="dxa"/>
          </w:tcPr>
          <w:p w:rsidR="00543C90" w:rsidRDefault="00543C90" w:rsidP="000F5F62">
            <w:pPr>
              <w:contextualSpacing/>
            </w:pPr>
            <w:r>
              <w:t>&lt;385.3 and &gt;=378.2</w:t>
            </w:r>
          </w:p>
        </w:tc>
      </w:tr>
      <w:tr w:rsidR="00543C90" w:rsidTr="000F5F62">
        <w:tc>
          <w:tcPr>
            <w:tcW w:w="4675" w:type="dxa"/>
            <w:shd w:val="clear" w:color="auto" w:fill="92D050"/>
          </w:tcPr>
          <w:p w:rsidR="00543C90" w:rsidRDefault="00543C90" w:rsidP="000F5F62">
            <w:pPr>
              <w:contextualSpacing/>
            </w:pPr>
            <w:r>
              <w:t>Meets</w:t>
            </w:r>
          </w:p>
        </w:tc>
        <w:tc>
          <w:tcPr>
            <w:tcW w:w="4675" w:type="dxa"/>
          </w:tcPr>
          <w:p w:rsidR="00543C90" w:rsidRDefault="00543C90" w:rsidP="000F5F62">
            <w:pPr>
              <w:contextualSpacing/>
            </w:pPr>
            <w:r>
              <w:t>&lt;412.6 and &gt;=385.3</w:t>
            </w:r>
          </w:p>
        </w:tc>
      </w:tr>
      <w:tr w:rsidR="00543C90" w:rsidTr="000F5F62">
        <w:tc>
          <w:tcPr>
            <w:tcW w:w="4675" w:type="dxa"/>
            <w:shd w:val="clear" w:color="auto" w:fill="00B0F0"/>
          </w:tcPr>
          <w:p w:rsidR="00543C90" w:rsidRDefault="00543C90" w:rsidP="000F5F62">
            <w:pPr>
              <w:contextualSpacing/>
            </w:pPr>
            <w:r>
              <w:t>Exceeds</w:t>
            </w:r>
          </w:p>
        </w:tc>
        <w:tc>
          <w:tcPr>
            <w:tcW w:w="4675" w:type="dxa"/>
          </w:tcPr>
          <w:p w:rsidR="00543C90" w:rsidRDefault="00543C90" w:rsidP="000F5F62">
            <w:pPr>
              <w:contextualSpacing/>
            </w:pPr>
            <w:r>
              <w:t>&gt;=412.6</w:t>
            </w:r>
          </w:p>
        </w:tc>
      </w:tr>
    </w:tbl>
    <w:p w:rsidR="006567F1" w:rsidRDefault="006567F1" w:rsidP="002B7BB4">
      <w:pPr>
        <w:spacing w:line="240" w:lineRule="auto"/>
        <w:contextualSpacing/>
      </w:pPr>
    </w:p>
    <w:p w:rsidR="00C8384F" w:rsidRDefault="002A101D" w:rsidP="00C8384F">
      <w:pPr>
        <w:spacing w:line="240" w:lineRule="auto"/>
      </w:pPr>
      <w:r>
        <w:rPr>
          <w:u w:val="single"/>
        </w:rPr>
        <w:t>EGHS</w:t>
      </w:r>
      <w:r w:rsidR="00C8384F" w:rsidRPr="006567F1">
        <w:rPr>
          <w:u w:val="single"/>
        </w:rPr>
        <w:t xml:space="preserve"> Results:</w:t>
      </w:r>
      <w:r w:rsidR="00C8384F">
        <w:t xml:space="preserve"> </w:t>
      </w:r>
      <w:r>
        <w:t>For the 2018 CDE SPF, Emily Griffith had 22 eligible students who had mean scale scores of 400.9 and 385.9 for EBRW and Math respectively.  For both content areas, these mean scale scores were sufficient to earn them Meets.</w:t>
      </w:r>
    </w:p>
    <w:p w:rsidR="006567F1" w:rsidRDefault="006567F1" w:rsidP="002B7BB4">
      <w:pPr>
        <w:spacing w:line="240" w:lineRule="auto"/>
        <w:contextualSpacing/>
      </w:pPr>
    </w:p>
    <w:p w:rsidR="00543C90" w:rsidRDefault="00726FA3" w:rsidP="002B7BB4">
      <w:pPr>
        <w:spacing w:line="240" w:lineRule="auto"/>
        <w:contextualSpacing/>
      </w:pPr>
      <w:r>
        <w:t>For all Academic Achievement measures, cut points are set based on the distribution of performance for AECs across the state.  The cuts were set using the 40</w:t>
      </w:r>
      <w:r w:rsidRPr="00726FA3">
        <w:rPr>
          <w:vertAlign w:val="superscript"/>
        </w:rPr>
        <w:t>th</w:t>
      </w:r>
      <w:r>
        <w:t>, 60</w:t>
      </w:r>
      <w:r w:rsidRPr="00726FA3">
        <w:rPr>
          <w:vertAlign w:val="superscript"/>
        </w:rPr>
        <w:t>th</w:t>
      </w:r>
      <w:r>
        <w:t>, and 90</w:t>
      </w:r>
      <w:r w:rsidRPr="00726FA3">
        <w:rPr>
          <w:vertAlign w:val="superscript"/>
        </w:rPr>
        <w:t>th</w:t>
      </w:r>
      <w:r>
        <w:t xml:space="preserve"> percentile scores.</w:t>
      </w:r>
    </w:p>
    <w:p w:rsidR="00726FA3" w:rsidRDefault="00726FA3" w:rsidP="002B7BB4">
      <w:pPr>
        <w:spacing w:line="240" w:lineRule="auto"/>
        <w:contextualSpacing/>
      </w:pPr>
    </w:p>
    <w:p w:rsidR="002755A5" w:rsidRPr="002755A5" w:rsidRDefault="00726FA3" w:rsidP="002B7BB4">
      <w:pPr>
        <w:spacing w:line="240" w:lineRule="auto"/>
        <w:contextualSpacing/>
        <w:rPr>
          <w:b/>
        </w:rPr>
      </w:pPr>
      <w:r w:rsidRPr="002B7BB4">
        <w:rPr>
          <w:b/>
        </w:rPr>
        <w:t>Academ</w:t>
      </w:r>
      <w:r>
        <w:rPr>
          <w:b/>
        </w:rPr>
        <w:t>ic Growth</w:t>
      </w:r>
      <w:r w:rsidR="002755A5">
        <w:rPr>
          <w:b/>
        </w:rPr>
        <w:t xml:space="preserve"> Indicator</w:t>
      </w:r>
    </w:p>
    <w:p w:rsidR="006567F1" w:rsidRPr="006567F1" w:rsidRDefault="006567F1" w:rsidP="002B7BB4">
      <w:pPr>
        <w:spacing w:line="240" w:lineRule="auto"/>
        <w:contextualSpacing/>
        <w:rPr>
          <w:b/>
        </w:rPr>
      </w:pPr>
      <w:r w:rsidRPr="006567F1">
        <w:rPr>
          <w:b/>
        </w:rPr>
        <w:t>State MGP ELA and Math</w:t>
      </w:r>
    </w:p>
    <w:p w:rsidR="006567F1" w:rsidRDefault="006567F1" w:rsidP="002B7BB4">
      <w:pPr>
        <w:spacing w:line="240" w:lineRule="auto"/>
        <w:contextualSpacing/>
      </w:pPr>
      <w:r w:rsidRPr="006567F1">
        <w:rPr>
          <w:u w:val="single"/>
        </w:rPr>
        <w:t>Methodology:</w:t>
      </w:r>
      <w:r>
        <w:t xml:space="preserve"> </w:t>
      </w:r>
      <w:r w:rsidR="00726FA3">
        <w:t>Both measures are based on the same growth percentile</w:t>
      </w:r>
      <w:r w:rsidR="00E9162A">
        <w:t xml:space="preserve"> data as the DPS SPF and contain all available assessment data for all available grades. For the 2018 SPF, the Academic Growth indicator measures </w:t>
      </w:r>
      <w:r w:rsidR="00ED6433">
        <w:t>consolidate 8</w:t>
      </w:r>
      <w:r w:rsidR="00ED6433" w:rsidRPr="00ED6433">
        <w:rPr>
          <w:vertAlign w:val="superscript"/>
        </w:rPr>
        <w:t>th</w:t>
      </w:r>
      <w:r w:rsidR="00ED6433">
        <w:t xml:space="preserve"> to 9</w:t>
      </w:r>
      <w:r w:rsidR="00ED6433" w:rsidRPr="00ED6433">
        <w:rPr>
          <w:vertAlign w:val="superscript"/>
        </w:rPr>
        <w:t>th</w:t>
      </w:r>
      <w:r w:rsidR="00ED6433">
        <w:t xml:space="preserve"> grade, 9</w:t>
      </w:r>
      <w:r w:rsidR="00ED6433" w:rsidRPr="00ED6433">
        <w:rPr>
          <w:vertAlign w:val="superscript"/>
        </w:rPr>
        <w:t>th</w:t>
      </w:r>
      <w:r w:rsidR="00ED6433">
        <w:t xml:space="preserve"> to 10</w:t>
      </w:r>
      <w:r w:rsidR="00ED6433" w:rsidRPr="00ED6433">
        <w:rPr>
          <w:vertAlign w:val="superscript"/>
        </w:rPr>
        <w:t>th</w:t>
      </w:r>
      <w:r w:rsidR="00ED6433">
        <w:t xml:space="preserve"> grade, and 10</w:t>
      </w:r>
      <w:r w:rsidR="00ED6433" w:rsidRPr="00ED6433">
        <w:rPr>
          <w:vertAlign w:val="superscript"/>
        </w:rPr>
        <w:t>th</w:t>
      </w:r>
      <w:r w:rsidR="00ED6433">
        <w:t xml:space="preserve"> to 11</w:t>
      </w:r>
      <w:r w:rsidR="00ED6433" w:rsidRPr="00ED6433">
        <w:rPr>
          <w:vertAlign w:val="superscript"/>
        </w:rPr>
        <w:t>th</w:t>
      </w:r>
      <w:r w:rsidR="00ED6433">
        <w:t xml:space="preserve"> grade growth</w:t>
      </w:r>
      <w:r w:rsidR="00E9162A">
        <w:t xml:space="preserve"> into content-area specific measures just like the DPS SPF.  </w:t>
      </w:r>
      <w:r w:rsidR="00ED6433">
        <w:t>Measure results are based on the median growth percentile of that data pooled across the three most recent years.  However, due to assessment transitions, this year’s SPF has 2 years of 8</w:t>
      </w:r>
      <w:r w:rsidR="00ED6433" w:rsidRPr="00ED6433">
        <w:rPr>
          <w:vertAlign w:val="superscript"/>
        </w:rPr>
        <w:t>th</w:t>
      </w:r>
      <w:r w:rsidR="00ED6433">
        <w:t xml:space="preserve"> to 9</w:t>
      </w:r>
      <w:r w:rsidR="00ED6433" w:rsidRPr="00ED6433">
        <w:rPr>
          <w:vertAlign w:val="superscript"/>
        </w:rPr>
        <w:t>th</w:t>
      </w:r>
      <w:r w:rsidR="00ED6433">
        <w:t xml:space="preserve"> and 9</w:t>
      </w:r>
      <w:r w:rsidR="00ED6433" w:rsidRPr="00ED6433">
        <w:rPr>
          <w:vertAlign w:val="superscript"/>
        </w:rPr>
        <w:t>th</w:t>
      </w:r>
      <w:r w:rsidR="00ED6433">
        <w:t xml:space="preserve"> to 10</w:t>
      </w:r>
      <w:r w:rsidR="00ED6433" w:rsidRPr="00ED6433">
        <w:rPr>
          <w:vertAlign w:val="superscript"/>
        </w:rPr>
        <w:t>th</w:t>
      </w:r>
      <w:r w:rsidR="00ED6433">
        <w:t xml:space="preserve"> grade growth data and 1 year of 10</w:t>
      </w:r>
      <w:r w:rsidR="00ED6433" w:rsidRPr="00ED6433">
        <w:rPr>
          <w:vertAlign w:val="superscript"/>
        </w:rPr>
        <w:t>th</w:t>
      </w:r>
      <w:r w:rsidR="00ED6433">
        <w:t xml:space="preserve"> to 11</w:t>
      </w:r>
      <w:r w:rsidR="00ED6433" w:rsidRPr="00ED6433">
        <w:rPr>
          <w:vertAlign w:val="superscript"/>
        </w:rPr>
        <w:t>th</w:t>
      </w:r>
      <w:r w:rsidR="00ED6433">
        <w:t xml:space="preserve"> grade growth.  </w:t>
      </w:r>
      <w:r w:rsidR="00E9162A">
        <w:t>Similar to Academic Achievement, a student is eligible for the State’s growth indicator if they have a valid growth percentile for two consecutive years, were enrolled in the school from October 1</w:t>
      </w:r>
      <w:r w:rsidR="00E9162A" w:rsidRPr="00E9162A">
        <w:rPr>
          <w:vertAlign w:val="superscript"/>
        </w:rPr>
        <w:t>st</w:t>
      </w:r>
      <w:r w:rsidR="00E9162A">
        <w:t xml:space="preserve"> through the testing window, and have regular grade-progression.  </w:t>
      </w:r>
    </w:p>
    <w:p w:rsidR="00ED6433" w:rsidRDefault="00ED6433" w:rsidP="002B7BB4">
      <w:pPr>
        <w:spacing w:line="240" w:lineRule="auto"/>
        <w:contextualSpacing/>
      </w:pPr>
    </w:p>
    <w:tbl>
      <w:tblPr>
        <w:tblStyle w:val="TableGrid"/>
        <w:tblW w:w="0" w:type="auto"/>
        <w:tblLook w:val="04A0" w:firstRow="1" w:lastRow="0" w:firstColumn="1" w:lastColumn="0" w:noHBand="0" w:noVBand="1"/>
      </w:tblPr>
      <w:tblGrid>
        <w:gridCol w:w="4675"/>
        <w:gridCol w:w="4675"/>
      </w:tblGrid>
      <w:tr w:rsidR="00ED6433" w:rsidTr="000F5F62">
        <w:tc>
          <w:tcPr>
            <w:tcW w:w="9350" w:type="dxa"/>
            <w:gridSpan w:val="2"/>
            <w:shd w:val="clear" w:color="auto" w:fill="D0CECE" w:themeFill="background2" w:themeFillShade="E6"/>
          </w:tcPr>
          <w:p w:rsidR="00ED6433" w:rsidRPr="00543C90" w:rsidRDefault="00ED6433" w:rsidP="00ED6433">
            <w:pPr>
              <w:contextualSpacing/>
              <w:jc w:val="center"/>
              <w:rPr>
                <w:b/>
              </w:rPr>
            </w:pPr>
            <w:r w:rsidRPr="00543C90">
              <w:rPr>
                <w:b/>
              </w:rPr>
              <w:t xml:space="preserve">State SPF </w:t>
            </w:r>
            <w:r>
              <w:rPr>
                <w:b/>
              </w:rPr>
              <w:t>Growth</w:t>
            </w:r>
            <w:r w:rsidRPr="00543C90">
              <w:rPr>
                <w:b/>
              </w:rPr>
              <w:t xml:space="preserve"> Cut Points</w:t>
            </w:r>
            <w:r>
              <w:rPr>
                <w:b/>
              </w:rPr>
              <w:t xml:space="preserve"> – ELA and Math</w:t>
            </w:r>
          </w:p>
        </w:tc>
      </w:tr>
      <w:tr w:rsidR="00ED6433" w:rsidTr="000F5F62">
        <w:tc>
          <w:tcPr>
            <w:tcW w:w="4675" w:type="dxa"/>
            <w:shd w:val="clear" w:color="auto" w:fill="FF0000"/>
          </w:tcPr>
          <w:p w:rsidR="00ED6433" w:rsidRDefault="00ED6433" w:rsidP="000F5F62">
            <w:pPr>
              <w:contextualSpacing/>
            </w:pPr>
            <w:r>
              <w:t>Does Not Meet</w:t>
            </w:r>
          </w:p>
        </w:tc>
        <w:tc>
          <w:tcPr>
            <w:tcW w:w="4675" w:type="dxa"/>
          </w:tcPr>
          <w:p w:rsidR="00ED6433" w:rsidRDefault="002E5CDA" w:rsidP="000F5F62">
            <w:pPr>
              <w:contextualSpacing/>
            </w:pPr>
            <w:r>
              <w:t>&lt;</w:t>
            </w:r>
            <w:r w:rsidR="00ED6433">
              <w:t>35</w:t>
            </w:r>
          </w:p>
        </w:tc>
      </w:tr>
      <w:tr w:rsidR="00ED6433" w:rsidTr="000F5F62">
        <w:tc>
          <w:tcPr>
            <w:tcW w:w="4675" w:type="dxa"/>
            <w:shd w:val="clear" w:color="auto" w:fill="FFC000"/>
          </w:tcPr>
          <w:p w:rsidR="00ED6433" w:rsidRDefault="00ED6433" w:rsidP="000F5F62">
            <w:pPr>
              <w:contextualSpacing/>
            </w:pPr>
            <w:r>
              <w:t>Approaching</w:t>
            </w:r>
          </w:p>
        </w:tc>
        <w:tc>
          <w:tcPr>
            <w:tcW w:w="4675" w:type="dxa"/>
          </w:tcPr>
          <w:p w:rsidR="00ED6433" w:rsidRDefault="00ED6433" w:rsidP="000F5F62">
            <w:pPr>
              <w:contextualSpacing/>
            </w:pPr>
            <w:r>
              <w:t>&lt;50 and &gt;=35</w:t>
            </w:r>
          </w:p>
        </w:tc>
      </w:tr>
      <w:tr w:rsidR="00ED6433" w:rsidTr="000F5F62">
        <w:tc>
          <w:tcPr>
            <w:tcW w:w="4675" w:type="dxa"/>
            <w:shd w:val="clear" w:color="auto" w:fill="92D050"/>
          </w:tcPr>
          <w:p w:rsidR="00ED6433" w:rsidRDefault="00ED6433" w:rsidP="000F5F62">
            <w:pPr>
              <w:contextualSpacing/>
            </w:pPr>
            <w:r>
              <w:t>Meets</w:t>
            </w:r>
          </w:p>
        </w:tc>
        <w:tc>
          <w:tcPr>
            <w:tcW w:w="4675" w:type="dxa"/>
          </w:tcPr>
          <w:p w:rsidR="00ED6433" w:rsidRDefault="00ED6433" w:rsidP="000F5F62">
            <w:pPr>
              <w:contextualSpacing/>
            </w:pPr>
            <w:r>
              <w:t>&lt;65 and &gt;=50</w:t>
            </w:r>
          </w:p>
        </w:tc>
      </w:tr>
      <w:tr w:rsidR="00ED6433" w:rsidTr="000F5F62">
        <w:tc>
          <w:tcPr>
            <w:tcW w:w="4675" w:type="dxa"/>
            <w:shd w:val="clear" w:color="auto" w:fill="00B0F0"/>
          </w:tcPr>
          <w:p w:rsidR="00ED6433" w:rsidRDefault="00ED6433" w:rsidP="000F5F62">
            <w:pPr>
              <w:contextualSpacing/>
            </w:pPr>
            <w:r>
              <w:t>Exceeds</w:t>
            </w:r>
          </w:p>
        </w:tc>
        <w:tc>
          <w:tcPr>
            <w:tcW w:w="4675" w:type="dxa"/>
          </w:tcPr>
          <w:p w:rsidR="00ED6433" w:rsidRDefault="00ED6433" w:rsidP="000F5F62">
            <w:pPr>
              <w:contextualSpacing/>
            </w:pPr>
            <w:r>
              <w:t>&gt;=65</w:t>
            </w:r>
          </w:p>
        </w:tc>
      </w:tr>
    </w:tbl>
    <w:p w:rsidR="00ED6433" w:rsidRDefault="00ED6433" w:rsidP="002B7BB4">
      <w:pPr>
        <w:spacing w:line="240" w:lineRule="auto"/>
        <w:contextualSpacing/>
      </w:pPr>
    </w:p>
    <w:p w:rsidR="006567F1" w:rsidRDefault="002A101D" w:rsidP="006567F1">
      <w:pPr>
        <w:spacing w:line="240" w:lineRule="auto"/>
        <w:contextualSpacing/>
      </w:pPr>
      <w:r>
        <w:rPr>
          <w:u w:val="single"/>
        </w:rPr>
        <w:t>EGHS</w:t>
      </w:r>
      <w:r w:rsidR="006567F1" w:rsidRPr="006567F1">
        <w:rPr>
          <w:u w:val="single"/>
        </w:rPr>
        <w:t xml:space="preserve"> Results:</w:t>
      </w:r>
      <w:r w:rsidR="00C8384F">
        <w:t xml:space="preserve"> </w:t>
      </w:r>
      <w:r>
        <w:t>The school had fewer than 20 eligible students for this measure so it was dropped from their SPF.</w:t>
      </w:r>
    </w:p>
    <w:p w:rsidR="006567F1" w:rsidRDefault="006567F1" w:rsidP="002B7BB4">
      <w:pPr>
        <w:spacing w:line="240" w:lineRule="auto"/>
        <w:contextualSpacing/>
      </w:pPr>
    </w:p>
    <w:p w:rsidR="006567F1" w:rsidRDefault="00ED6433" w:rsidP="00ED6433">
      <w:pPr>
        <w:spacing w:line="240" w:lineRule="auto"/>
        <w:contextualSpacing/>
      </w:pPr>
      <w:r>
        <w:t>For all Academic Growth measures, the cut points used are identical to those used on the DPS SPF.</w:t>
      </w:r>
    </w:p>
    <w:p w:rsidR="006567F1" w:rsidRDefault="006567F1" w:rsidP="00ED6433">
      <w:pPr>
        <w:spacing w:line="240" w:lineRule="auto"/>
        <w:contextualSpacing/>
      </w:pPr>
    </w:p>
    <w:p w:rsidR="002A101D" w:rsidRDefault="002A101D" w:rsidP="00ED6433">
      <w:pPr>
        <w:spacing w:line="240" w:lineRule="auto"/>
        <w:contextualSpacing/>
      </w:pPr>
    </w:p>
    <w:p w:rsidR="002A101D" w:rsidRDefault="002A101D" w:rsidP="00ED6433">
      <w:pPr>
        <w:spacing w:line="240" w:lineRule="auto"/>
        <w:contextualSpacing/>
      </w:pPr>
    </w:p>
    <w:p w:rsidR="002A101D" w:rsidRDefault="002A101D" w:rsidP="00ED6433">
      <w:pPr>
        <w:spacing w:line="240" w:lineRule="auto"/>
        <w:contextualSpacing/>
      </w:pPr>
    </w:p>
    <w:p w:rsidR="002A101D" w:rsidRDefault="002A101D" w:rsidP="00ED6433">
      <w:pPr>
        <w:spacing w:line="240" w:lineRule="auto"/>
        <w:contextualSpacing/>
      </w:pPr>
    </w:p>
    <w:p w:rsidR="00ED6433" w:rsidRDefault="00ED6433" w:rsidP="00ED6433">
      <w:pPr>
        <w:spacing w:line="240" w:lineRule="auto"/>
        <w:contextualSpacing/>
        <w:rPr>
          <w:b/>
        </w:rPr>
      </w:pPr>
      <w:r>
        <w:rPr>
          <w:b/>
        </w:rPr>
        <w:lastRenderedPageBreak/>
        <w:t>Student Engagement</w:t>
      </w:r>
      <w:r w:rsidR="002755A5">
        <w:rPr>
          <w:b/>
        </w:rPr>
        <w:t xml:space="preserve"> Indicator</w:t>
      </w:r>
    </w:p>
    <w:p w:rsidR="006567F1" w:rsidRPr="006567F1" w:rsidRDefault="006567F1" w:rsidP="00ED6433">
      <w:pPr>
        <w:spacing w:line="240" w:lineRule="auto"/>
        <w:contextualSpacing/>
        <w:rPr>
          <w:b/>
        </w:rPr>
      </w:pPr>
      <w:r w:rsidRPr="006567F1">
        <w:rPr>
          <w:b/>
        </w:rPr>
        <w:t>Attendance</w:t>
      </w:r>
    </w:p>
    <w:p w:rsidR="00872E34" w:rsidRDefault="006567F1" w:rsidP="00ED6433">
      <w:pPr>
        <w:spacing w:line="240" w:lineRule="auto"/>
        <w:contextualSpacing/>
      </w:pPr>
      <w:r w:rsidRPr="006567F1">
        <w:rPr>
          <w:u w:val="single"/>
        </w:rPr>
        <w:t>Methodology:</w:t>
      </w:r>
      <w:r>
        <w:t xml:space="preserve"> </w:t>
      </w:r>
      <w:r w:rsidR="00872E34">
        <w:t>Both of these measures use the exact same data and definitions as the DPS SPF, but are based on a three year pool of data.</w:t>
      </w:r>
      <w:r w:rsidR="002E5CDA">
        <w:t xml:space="preserve"> </w:t>
      </w:r>
      <w:r w:rsidR="00355174">
        <w:t>All students regardless of the length of time they were enrolled are eligible for these measures.</w:t>
      </w:r>
      <w:r w:rsidR="002E5CDA">
        <w:t xml:space="preserve"> </w:t>
      </w:r>
    </w:p>
    <w:p w:rsidR="002755A5" w:rsidRDefault="002755A5" w:rsidP="00ED6433">
      <w:pPr>
        <w:spacing w:line="240" w:lineRule="auto"/>
        <w:contextualSpacing/>
      </w:pPr>
    </w:p>
    <w:tbl>
      <w:tblPr>
        <w:tblStyle w:val="TableGrid"/>
        <w:tblW w:w="0" w:type="auto"/>
        <w:tblInd w:w="5" w:type="dxa"/>
        <w:tblLook w:val="04A0" w:firstRow="1" w:lastRow="0" w:firstColumn="1" w:lastColumn="0" w:noHBand="0" w:noVBand="1"/>
      </w:tblPr>
      <w:tblGrid>
        <w:gridCol w:w="4673"/>
        <w:gridCol w:w="4672"/>
      </w:tblGrid>
      <w:tr w:rsidR="00872E34" w:rsidTr="00D83E11">
        <w:tc>
          <w:tcPr>
            <w:tcW w:w="9350" w:type="dxa"/>
            <w:gridSpan w:val="2"/>
            <w:shd w:val="clear" w:color="auto" w:fill="D0CECE" w:themeFill="background2" w:themeFillShade="E6"/>
          </w:tcPr>
          <w:p w:rsidR="00872E34" w:rsidRPr="00543C90" w:rsidRDefault="00872E34" w:rsidP="00D83E11">
            <w:pPr>
              <w:contextualSpacing/>
              <w:jc w:val="center"/>
              <w:rPr>
                <w:b/>
              </w:rPr>
            </w:pPr>
            <w:r w:rsidRPr="00543C90">
              <w:rPr>
                <w:b/>
              </w:rPr>
              <w:t xml:space="preserve">State SPF </w:t>
            </w:r>
            <w:r>
              <w:rPr>
                <w:b/>
              </w:rPr>
              <w:t xml:space="preserve">Attendance Cut </w:t>
            </w:r>
            <w:r w:rsidRPr="00543C90">
              <w:rPr>
                <w:b/>
              </w:rPr>
              <w:t>Points</w:t>
            </w:r>
          </w:p>
        </w:tc>
      </w:tr>
      <w:tr w:rsidR="00872E34" w:rsidTr="00D83E11">
        <w:tc>
          <w:tcPr>
            <w:tcW w:w="4675" w:type="dxa"/>
            <w:shd w:val="clear" w:color="auto" w:fill="FF0000"/>
          </w:tcPr>
          <w:p w:rsidR="00872E34" w:rsidRDefault="00872E34" w:rsidP="000F5F62">
            <w:pPr>
              <w:contextualSpacing/>
            </w:pPr>
            <w:r>
              <w:t>Does Not Meet</w:t>
            </w:r>
          </w:p>
        </w:tc>
        <w:tc>
          <w:tcPr>
            <w:tcW w:w="4675" w:type="dxa"/>
          </w:tcPr>
          <w:p w:rsidR="00872E34" w:rsidRDefault="002E5CDA" w:rsidP="000F5F62">
            <w:pPr>
              <w:contextualSpacing/>
            </w:pPr>
            <w:r>
              <w:t>&lt;</w:t>
            </w:r>
            <w:r w:rsidR="00872E34">
              <w:t>80.2</w:t>
            </w:r>
            <w:r w:rsidR="00D94932">
              <w:t>%</w:t>
            </w:r>
          </w:p>
        </w:tc>
      </w:tr>
      <w:tr w:rsidR="00872E34" w:rsidTr="00D83E11">
        <w:tc>
          <w:tcPr>
            <w:tcW w:w="4675" w:type="dxa"/>
            <w:shd w:val="clear" w:color="auto" w:fill="FFC000"/>
          </w:tcPr>
          <w:p w:rsidR="00872E34" w:rsidRDefault="00872E34" w:rsidP="000F5F62">
            <w:pPr>
              <w:contextualSpacing/>
            </w:pPr>
            <w:r>
              <w:t>Approaching</w:t>
            </w:r>
          </w:p>
        </w:tc>
        <w:tc>
          <w:tcPr>
            <w:tcW w:w="4675" w:type="dxa"/>
          </w:tcPr>
          <w:p w:rsidR="00872E34" w:rsidRDefault="00872E34" w:rsidP="000F5F62">
            <w:pPr>
              <w:contextualSpacing/>
            </w:pPr>
            <w:r>
              <w:t>&lt;86.5</w:t>
            </w:r>
            <w:r w:rsidR="00D94932">
              <w:t xml:space="preserve">% </w:t>
            </w:r>
            <w:r>
              <w:t>and &gt;=80.2</w:t>
            </w:r>
            <w:r w:rsidR="00D94932">
              <w:t>%</w:t>
            </w:r>
          </w:p>
        </w:tc>
      </w:tr>
      <w:tr w:rsidR="00872E34" w:rsidTr="00D83E11">
        <w:tc>
          <w:tcPr>
            <w:tcW w:w="4675" w:type="dxa"/>
            <w:shd w:val="clear" w:color="auto" w:fill="92D050"/>
          </w:tcPr>
          <w:p w:rsidR="00872E34" w:rsidRDefault="00872E34" w:rsidP="000F5F62">
            <w:pPr>
              <w:contextualSpacing/>
            </w:pPr>
            <w:r>
              <w:t>Meets</w:t>
            </w:r>
          </w:p>
        </w:tc>
        <w:tc>
          <w:tcPr>
            <w:tcW w:w="4675" w:type="dxa"/>
          </w:tcPr>
          <w:p w:rsidR="00872E34" w:rsidRDefault="00872E34" w:rsidP="000F5F62">
            <w:pPr>
              <w:contextualSpacing/>
            </w:pPr>
            <w:r>
              <w:t>&lt;94.8</w:t>
            </w:r>
            <w:r w:rsidR="00D94932">
              <w:t>%</w:t>
            </w:r>
            <w:r>
              <w:t xml:space="preserve"> and &gt;=86.5</w:t>
            </w:r>
            <w:r w:rsidR="00D94932">
              <w:t>%</w:t>
            </w:r>
          </w:p>
        </w:tc>
      </w:tr>
      <w:tr w:rsidR="00872E34" w:rsidTr="00D83E11">
        <w:tc>
          <w:tcPr>
            <w:tcW w:w="4675" w:type="dxa"/>
            <w:shd w:val="clear" w:color="auto" w:fill="00B0F0"/>
          </w:tcPr>
          <w:p w:rsidR="00872E34" w:rsidRDefault="00872E34" w:rsidP="000F5F62">
            <w:pPr>
              <w:contextualSpacing/>
            </w:pPr>
            <w:r>
              <w:t>Exceeds</w:t>
            </w:r>
          </w:p>
        </w:tc>
        <w:tc>
          <w:tcPr>
            <w:tcW w:w="4675" w:type="dxa"/>
          </w:tcPr>
          <w:p w:rsidR="00872E34" w:rsidRDefault="00872E34" w:rsidP="000F5F62">
            <w:pPr>
              <w:contextualSpacing/>
            </w:pPr>
            <w:r>
              <w:t>&gt;=94.8</w:t>
            </w:r>
            <w:r w:rsidR="00D94932">
              <w:t>%</w:t>
            </w:r>
          </w:p>
        </w:tc>
      </w:tr>
    </w:tbl>
    <w:p w:rsidR="00872E34" w:rsidRDefault="00872E34" w:rsidP="00ED6433">
      <w:pPr>
        <w:spacing w:line="240" w:lineRule="auto"/>
        <w:contextualSpacing/>
      </w:pPr>
    </w:p>
    <w:tbl>
      <w:tblPr>
        <w:tblStyle w:val="TableGrid"/>
        <w:tblW w:w="0" w:type="auto"/>
        <w:tblLook w:val="04A0" w:firstRow="1" w:lastRow="0" w:firstColumn="1" w:lastColumn="0" w:noHBand="0" w:noVBand="1"/>
      </w:tblPr>
      <w:tblGrid>
        <w:gridCol w:w="4675"/>
        <w:gridCol w:w="4675"/>
      </w:tblGrid>
      <w:tr w:rsidR="00872E34" w:rsidTr="000F5F62">
        <w:tc>
          <w:tcPr>
            <w:tcW w:w="9350" w:type="dxa"/>
            <w:gridSpan w:val="2"/>
            <w:shd w:val="clear" w:color="auto" w:fill="D0CECE" w:themeFill="background2" w:themeFillShade="E6"/>
          </w:tcPr>
          <w:p w:rsidR="00872E34" w:rsidRPr="00543C90" w:rsidRDefault="00872E34" w:rsidP="00872E34">
            <w:pPr>
              <w:contextualSpacing/>
              <w:jc w:val="center"/>
              <w:rPr>
                <w:b/>
              </w:rPr>
            </w:pPr>
            <w:r w:rsidRPr="00543C90">
              <w:rPr>
                <w:b/>
              </w:rPr>
              <w:t xml:space="preserve">State SPF </w:t>
            </w:r>
            <w:r>
              <w:rPr>
                <w:b/>
              </w:rPr>
              <w:t xml:space="preserve">Truancy Cut </w:t>
            </w:r>
            <w:r w:rsidRPr="00543C90">
              <w:rPr>
                <w:b/>
              </w:rPr>
              <w:t>Points</w:t>
            </w:r>
            <w:r>
              <w:rPr>
                <w:b/>
              </w:rPr>
              <w:t xml:space="preserve"> </w:t>
            </w:r>
            <w:r w:rsidR="006567F1">
              <w:rPr>
                <w:b/>
              </w:rPr>
              <w:t xml:space="preserve"> </w:t>
            </w:r>
          </w:p>
        </w:tc>
      </w:tr>
      <w:tr w:rsidR="00872E34" w:rsidTr="000F5F62">
        <w:tc>
          <w:tcPr>
            <w:tcW w:w="4675" w:type="dxa"/>
            <w:shd w:val="clear" w:color="auto" w:fill="FF0000"/>
          </w:tcPr>
          <w:p w:rsidR="00872E34" w:rsidRDefault="00872E34" w:rsidP="000F5F62">
            <w:pPr>
              <w:contextualSpacing/>
            </w:pPr>
            <w:r>
              <w:t>Does Not Meet</w:t>
            </w:r>
          </w:p>
        </w:tc>
        <w:tc>
          <w:tcPr>
            <w:tcW w:w="4675" w:type="dxa"/>
          </w:tcPr>
          <w:p w:rsidR="00872E34" w:rsidRDefault="00872E34" w:rsidP="000F5F62">
            <w:pPr>
              <w:contextualSpacing/>
            </w:pPr>
            <w:r>
              <w:t>&gt;11.91</w:t>
            </w:r>
            <w:r w:rsidR="00D94932">
              <w:t>%</w:t>
            </w:r>
            <w:r w:rsidR="006567F1">
              <w:t xml:space="preserve"> </w:t>
            </w:r>
          </w:p>
        </w:tc>
      </w:tr>
      <w:tr w:rsidR="00872E34" w:rsidTr="000F5F62">
        <w:tc>
          <w:tcPr>
            <w:tcW w:w="4675" w:type="dxa"/>
            <w:shd w:val="clear" w:color="auto" w:fill="FFC000"/>
          </w:tcPr>
          <w:p w:rsidR="00872E34" w:rsidRDefault="00872E34" w:rsidP="000F5F62">
            <w:pPr>
              <w:contextualSpacing/>
            </w:pPr>
            <w:r>
              <w:t>Approaching</w:t>
            </w:r>
          </w:p>
        </w:tc>
        <w:tc>
          <w:tcPr>
            <w:tcW w:w="4675" w:type="dxa"/>
          </w:tcPr>
          <w:p w:rsidR="00872E34" w:rsidRDefault="00872E34" w:rsidP="000F5F62">
            <w:pPr>
              <w:contextualSpacing/>
            </w:pPr>
            <w:r>
              <w:t>&gt;7.81</w:t>
            </w:r>
            <w:r w:rsidR="00D94932">
              <w:t>%</w:t>
            </w:r>
            <w:r>
              <w:t xml:space="preserve"> and &lt;=11.91</w:t>
            </w:r>
            <w:r w:rsidR="00D94932">
              <w:t>%</w:t>
            </w:r>
            <w:r w:rsidR="006567F1">
              <w:t xml:space="preserve"> </w:t>
            </w:r>
          </w:p>
        </w:tc>
      </w:tr>
      <w:tr w:rsidR="00872E34" w:rsidTr="000F5F62">
        <w:tc>
          <w:tcPr>
            <w:tcW w:w="4675" w:type="dxa"/>
            <w:shd w:val="clear" w:color="auto" w:fill="92D050"/>
          </w:tcPr>
          <w:p w:rsidR="00872E34" w:rsidRDefault="00872E34" w:rsidP="000F5F62">
            <w:pPr>
              <w:contextualSpacing/>
            </w:pPr>
            <w:r>
              <w:t>Meets</w:t>
            </w:r>
          </w:p>
        </w:tc>
        <w:tc>
          <w:tcPr>
            <w:tcW w:w="4675" w:type="dxa"/>
          </w:tcPr>
          <w:p w:rsidR="00872E34" w:rsidRDefault="00872E34" w:rsidP="000F5F62">
            <w:pPr>
              <w:contextualSpacing/>
            </w:pPr>
            <w:r>
              <w:t>&gt;0.1</w:t>
            </w:r>
            <w:r w:rsidR="00D94932">
              <w:t>%</w:t>
            </w:r>
            <w:r>
              <w:t xml:space="preserve"> and &lt;=7.81</w:t>
            </w:r>
            <w:r w:rsidR="00D94932">
              <w:t>%</w:t>
            </w:r>
            <w:r w:rsidR="006567F1">
              <w:t xml:space="preserve"> </w:t>
            </w:r>
          </w:p>
        </w:tc>
      </w:tr>
      <w:tr w:rsidR="00872E34" w:rsidTr="000F5F62">
        <w:tc>
          <w:tcPr>
            <w:tcW w:w="4675" w:type="dxa"/>
            <w:shd w:val="clear" w:color="auto" w:fill="00B0F0"/>
          </w:tcPr>
          <w:p w:rsidR="00872E34" w:rsidRDefault="00872E34" w:rsidP="000F5F62">
            <w:pPr>
              <w:contextualSpacing/>
            </w:pPr>
            <w:r>
              <w:t>Exceeds</w:t>
            </w:r>
          </w:p>
        </w:tc>
        <w:tc>
          <w:tcPr>
            <w:tcW w:w="4675" w:type="dxa"/>
          </w:tcPr>
          <w:p w:rsidR="00872E34" w:rsidRDefault="00872E34" w:rsidP="000F5F62">
            <w:pPr>
              <w:contextualSpacing/>
            </w:pPr>
            <w:r>
              <w:t>&lt;=0.1</w:t>
            </w:r>
            <w:r w:rsidR="00D94932">
              <w:t>%</w:t>
            </w:r>
            <w:r w:rsidR="006567F1">
              <w:t xml:space="preserve"> </w:t>
            </w:r>
          </w:p>
        </w:tc>
      </w:tr>
    </w:tbl>
    <w:p w:rsidR="007D5393" w:rsidRDefault="007D5393" w:rsidP="00ED6433">
      <w:pPr>
        <w:spacing w:line="240" w:lineRule="auto"/>
        <w:contextualSpacing/>
      </w:pPr>
    </w:p>
    <w:p w:rsidR="006567F1" w:rsidRDefault="00D83E11" w:rsidP="006567F1">
      <w:pPr>
        <w:spacing w:line="240" w:lineRule="auto"/>
        <w:contextualSpacing/>
      </w:pPr>
      <w:r>
        <w:rPr>
          <w:u w:val="single"/>
        </w:rPr>
        <w:t>EGHS</w:t>
      </w:r>
      <w:r w:rsidR="00C8384F">
        <w:rPr>
          <w:u w:val="single"/>
        </w:rPr>
        <w:t xml:space="preserve"> </w:t>
      </w:r>
      <w:r w:rsidR="006567F1" w:rsidRPr="006567F1">
        <w:rPr>
          <w:u w:val="single"/>
        </w:rPr>
        <w:t>Results:</w:t>
      </w:r>
      <w:r w:rsidR="006567F1">
        <w:t xml:space="preserve"> When subject to the mea</w:t>
      </w:r>
      <w:r w:rsidR="00C8384F">
        <w:t xml:space="preserve">sure cut points shown below, </w:t>
      </w:r>
      <w:r>
        <w:t xml:space="preserve">Emily Griffith </w:t>
      </w:r>
      <w:r w:rsidR="006567F1">
        <w:t>earned Does N</w:t>
      </w:r>
      <w:r w:rsidR="00C8384F">
        <w:t xml:space="preserve">ot Meet for both measures.  </w:t>
      </w:r>
      <w:r>
        <w:t>EGHS</w:t>
      </w:r>
      <w:r w:rsidR="00C8384F">
        <w:t xml:space="preserve"> </w:t>
      </w:r>
      <w:r w:rsidR="006567F1">
        <w:t xml:space="preserve">had an </w:t>
      </w:r>
      <w:r>
        <w:t xml:space="preserve">average daily attendance of 75.9% which was roughly </w:t>
      </w:r>
      <w:r w:rsidR="00C8384F">
        <w:t>5%</w:t>
      </w:r>
      <w:r w:rsidR="006567F1">
        <w:t xml:space="preserve"> short of Approaching.  The school</w:t>
      </w:r>
      <w:r>
        <w:t xml:space="preserve"> also had a truancy rate of 19.7% which is well beyond the 11.91% required to earn an Approaching.</w:t>
      </w:r>
    </w:p>
    <w:p w:rsidR="006567F1" w:rsidRPr="00872E34" w:rsidRDefault="006567F1" w:rsidP="00ED6433">
      <w:pPr>
        <w:spacing w:line="240" w:lineRule="auto"/>
        <w:contextualSpacing/>
      </w:pPr>
    </w:p>
    <w:p w:rsidR="00872E34" w:rsidRDefault="007D5393" w:rsidP="00872E34">
      <w:pPr>
        <w:spacing w:line="240" w:lineRule="auto"/>
        <w:contextualSpacing/>
      </w:pPr>
      <w:r>
        <w:t>For both measures, the</w:t>
      </w:r>
      <w:r w:rsidR="00872E34">
        <w:t xml:space="preserve"> </w:t>
      </w:r>
      <w:r>
        <w:t>cut points</w:t>
      </w:r>
      <w:r w:rsidR="00872E34">
        <w:t xml:space="preserve"> were set </w:t>
      </w:r>
      <w:r>
        <w:t xml:space="preserve">based off the distribution of the data for all AECs across the state as of 2016.  The values seen in these cuts align to the </w:t>
      </w:r>
      <w:r w:rsidR="00872E34">
        <w:t>40</w:t>
      </w:r>
      <w:r w:rsidR="00872E34" w:rsidRPr="00726FA3">
        <w:rPr>
          <w:vertAlign w:val="superscript"/>
        </w:rPr>
        <w:t>th</w:t>
      </w:r>
      <w:r w:rsidR="00872E34">
        <w:t>, 60</w:t>
      </w:r>
      <w:r w:rsidR="00872E34" w:rsidRPr="00726FA3">
        <w:rPr>
          <w:vertAlign w:val="superscript"/>
        </w:rPr>
        <w:t>th</w:t>
      </w:r>
      <w:r w:rsidR="00872E34">
        <w:t>, and 90</w:t>
      </w:r>
      <w:r w:rsidR="00872E34" w:rsidRPr="00726FA3">
        <w:rPr>
          <w:vertAlign w:val="superscript"/>
        </w:rPr>
        <w:t>th</w:t>
      </w:r>
      <w:r>
        <w:t xml:space="preserve"> percentile scores just like the Academic Achievement measures.</w:t>
      </w:r>
    </w:p>
    <w:p w:rsidR="007D5393" w:rsidRDefault="007D5393" w:rsidP="00872E34">
      <w:pPr>
        <w:spacing w:line="240" w:lineRule="auto"/>
        <w:contextualSpacing/>
      </w:pPr>
    </w:p>
    <w:p w:rsidR="006567F1" w:rsidRPr="002755A5" w:rsidRDefault="007D5393" w:rsidP="00ED6433">
      <w:pPr>
        <w:spacing w:line="240" w:lineRule="auto"/>
        <w:contextualSpacing/>
        <w:rPr>
          <w:b/>
        </w:rPr>
      </w:pPr>
      <w:r w:rsidRPr="007D5393">
        <w:rPr>
          <w:b/>
        </w:rPr>
        <w:t>Postsecondary &amp; Workforce Readiness</w:t>
      </w:r>
      <w:r w:rsidR="00CB57EC">
        <w:rPr>
          <w:b/>
        </w:rPr>
        <w:t xml:space="preserve"> </w:t>
      </w:r>
      <w:r w:rsidR="002755A5">
        <w:rPr>
          <w:b/>
        </w:rPr>
        <w:t>Indicator</w:t>
      </w:r>
    </w:p>
    <w:p w:rsidR="006567F1" w:rsidRPr="006567F1" w:rsidRDefault="006567F1" w:rsidP="00ED6433">
      <w:pPr>
        <w:spacing w:line="240" w:lineRule="auto"/>
        <w:contextualSpacing/>
        <w:rPr>
          <w:b/>
        </w:rPr>
      </w:pPr>
      <w:r w:rsidRPr="006567F1">
        <w:rPr>
          <w:b/>
        </w:rPr>
        <w:t>COSAT EBRW and Math</w:t>
      </w:r>
    </w:p>
    <w:p w:rsidR="006567F1" w:rsidRDefault="006567F1" w:rsidP="00ED6433">
      <w:pPr>
        <w:spacing w:line="240" w:lineRule="auto"/>
        <w:contextualSpacing/>
      </w:pPr>
      <w:r w:rsidRPr="006567F1">
        <w:rPr>
          <w:u w:val="single"/>
        </w:rPr>
        <w:t>Methodology:</w:t>
      </w:r>
      <w:r>
        <w:t xml:space="preserve"> </w:t>
      </w:r>
      <w:r w:rsidR="002E5CDA">
        <w:t xml:space="preserve">The COSAT EBRW and Math measures are almost identical to their PSAT9/10 counterparts in the Academic Achievement indicator.  These measures combine DLM data with SAT data and look at a school’s mean scale score across multiple years.  In 2018, this measure pooled 2 years of data as this was the maximum available, but in the future it will also transition to be based on 3 years.  Student eligibility criteria are identical to those used for CMAS Science and COPSAT EBRW and Math.  </w:t>
      </w:r>
    </w:p>
    <w:p w:rsidR="002E5CDA" w:rsidRDefault="002E5CDA" w:rsidP="00ED6433">
      <w:pPr>
        <w:spacing w:line="240" w:lineRule="auto"/>
        <w:contextualSpacing/>
      </w:pPr>
    </w:p>
    <w:tbl>
      <w:tblPr>
        <w:tblStyle w:val="TableGrid"/>
        <w:tblW w:w="0" w:type="auto"/>
        <w:tblLook w:val="04A0" w:firstRow="1" w:lastRow="0" w:firstColumn="1" w:lastColumn="0" w:noHBand="0" w:noVBand="1"/>
      </w:tblPr>
      <w:tblGrid>
        <w:gridCol w:w="4675"/>
        <w:gridCol w:w="4675"/>
      </w:tblGrid>
      <w:tr w:rsidR="002E5CDA" w:rsidTr="000F5F62">
        <w:tc>
          <w:tcPr>
            <w:tcW w:w="9350" w:type="dxa"/>
            <w:gridSpan w:val="2"/>
            <w:shd w:val="clear" w:color="auto" w:fill="D0CECE" w:themeFill="background2" w:themeFillShade="E6"/>
          </w:tcPr>
          <w:p w:rsidR="002E5CDA" w:rsidRPr="00543C90" w:rsidRDefault="002E5CDA" w:rsidP="002E5CDA">
            <w:pPr>
              <w:contextualSpacing/>
              <w:jc w:val="center"/>
              <w:rPr>
                <w:b/>
              </w:rPr>
            </w:pPr>
            <w:r w:rsidRPr="00543C90">
              <w:rPr>
                <w:b/>
              </w:rPr>
              <w:t xml:space="preserve">State SPF </w:t>
            </w:r>
            <w:r>
              <w:rPr>
                <w:b/>
              </w:rPr>
              <w:t>COSAT EBRW Cut Points</w:t>
            </w:r>
          </w:p>
        </w:tc>
      </w:tr>
      <w:tr w:rsidR="002E5CDA" w:rsidTr="000F5F62">
        <w:tc>
          <w:tcPr>
            <w:tcW w:w="4675" w:type="dxa"/>
            <w:shd w:val="clear" w:color="auto" w:fill="FF0000"/>
          </w:tcPr>
          <w:p w:rsidR="002E5CDA" w:rsidRDefault="002E5CDA" w:rsidP="000F5F62">
            <w:pPr>
              <w:contextualSpacing/>
            </w:pPr>
            <w:r>
              <w:t>Does Not Meet</w:t>
            </w:r>
          </w:p>
        </w:tc>
        <w:tc>
          <w:tcPr>
            <w:tcW w:w="4675" w:type="dxa"/>
          </w:tcPr>
          <w:p w:rsidR="002E5CDA" w:rsidRDefault="002E5CDA" w:rsidP="000F5F62">
            <w:pPr>
              <w:contextualSpacing/>
            </w:pPr>
            <w:r>
              <w:t>&lt;420.9</w:t>
            </w:r>
          </w:p>
        </w:tc>
      </w:tr>
      <w:tr w:rsidR="002E5CDA" w:rsidTr="000F5F62">
        <w:tc>
          <w:tcPr>
            <w:tcW w:w="4675" w:type="dxa"/>
            <w:shd w:val="clear" w:color="auto" w:fill="FFC000"/>
          </w:tcPr>
          <w:p w:rsidR="002E5CDA" w:rsidRDefault="002E5CDA" w:rsidP="000F5F62">
            <w:pPr>
              <w:contextualSpacing/>
            </w:pPr>
            <w:r>
              <w:t>Approaching</w:t>
            </w:r>
          </w:p>
        </w:tc>
        <w:tc>
          <w:tcPr>
            <w:tcW w:w="4675" w:type="dxa"/>
          </w:tcPr>
          <w:p w:rsidR="002E5CDA" w:rsidRDefault="002E5CDA" w:rsidP="000F5F62">
            <w:pPr>
              <w:contextualSpacing/>
            </w:pPr>
            <w:r>
              <w:t>&lt;435.1 and &gt;=420.9</w:t>
            </w:r>
          </w:p>
        </w:tc>
      </w:tr>
      <w:tr w:rsidR="002E5CDA" w:rsidTr="000F5F62">
        <w:tc>
          <w:tcPr>
            <w:tcW w:w="4675" w:type="dxa"/>
            <w:shd w:val="clear" w:color="auto" w:fill="92D050"/>
          </w:tcPr>
          <w:p w:rsidR="002E5CDA" w:rsidRDefault="002E5CDA" w:rsidP="000F5F62">
            <w:pPr>
              <w:contextualSpacing/>
            </w:pPr>
            <w:r>
              <w:t>Meets</w:t>
            </w:r>
          </w:p>
        </w:tc>
        <w:tc>
          <w:tcPr>
            <w:tcW w:w="4675" w:type="dxa"/>
          </w:tcPr>
          <w:p w:rsidR="002E5CDA" w:rsidRDefault="002E5CDA" w:rsidP="000F5F62">
            <w:pPr>
              <w:contextualSpacing/>
            </w:pPr>
            <w:r>
              <w:t>&lt;458.3 and &gt;=435.1</w:t>
            </w:r>
          </w:p>
        </w:tc>
      </w:tr>
      <w:tr w:rsidR="002E5CDA" w:rsidTr="000F5F62">
        <w:tc>
          <w:tcPr>
            <w:tcW w:w="4675" w:type="dxa"/>
            <w:shd w:val="clear" w:color="auto" w:fill="00B0F0"/>
          </w:tcPr>
          <w:p w:rsidR="002E5CDA" w:rsidRDefault="002E5CDA" w:rsidP="000F5F62">
            <w:pPr>
              <w:contextualSpacing/>
            </w:pPr>
            <w:r>
              <w:t>Exceeds</w:t>
            </w:r>
          </w:p>
        </w:tc>
        <w:tc>
          <w:tcPr>
            <w:tcW w:w="4675" w:type="dxa"/>
          </w:tcPr>
          <w:p w:rsidR="002E5CDA" w:rsidRDefault="002E5CDA" w:rsidP="000F5F62">
            <w:pPr>
              <w:contextualSpacing/>
            </w:pPr>
            <w:r>
              <w:t>&gt;=458.3</w:t>
            </w:r>
          </w:p>
        </w:tc>
      </w:tr>
    </w:tbl>
    <w:p w:rsidR="00ED6433" w:rsidRDefault="00ED6433" w:rsidP="00ED6433">
      <w:pPr>
        <w:spacing w:line="240" w:lineRule="auto"/>
        <w:contextualSpacing/>
        <w:rPr>
          <w:b/>
        </w:rPr>
      </w:pPr>
    </w:p>
    <w:tbl>
      <w:tblPr>
        <w:tblStyle w:val="TableGrid"/>
        <w:tblW w:w="0" w:type="auto"/>
        <w:tblLook w:val="04A0" w:firstRow="1" w:lastRow="0" w:firstColumn="1" w:lastColumn="0" w:noHBand="0" w:noVBand="1"/>
      </w:tblPr>
      <w:tblGrid>
        <w:gridCol w:w="4675"/>
        <w:gridCol w:w="4675"/>
      </w:tblGrid>
      <w:tr w:rsidR="002E5CDA" w:rsidTr="000F5F62">
        <w:tc>
          <w:tcPr>
            <w:tcW w:w="9350" w:type="dxa"/>
            <w:gridSpan w:val="2"/>
            <w:shd w:val="clear" w:color="auto" w:fill="D0CECE" w:themeFill="background2" w:themeFillShade="E6"/>
          </w:tcPr>
          <w:p w:rsidR="002E5CDA" w:rsidRPr="00543C90" w:rsidRDefault="002E5CDA" w:rsidP="000F5F62">
            <w:pPr>
              <w:contextualSpacing/>
              <w:jc w:val="center"/>
              <w:rPr>
                <w:b/>
              </w:rPr>
            </w:pPr>
            <w:r w:rsidRPr="00543C90">
              <w:rPr>
                <w:b/>
              </w:rPr>
              <w:t xml:space="preserve">State SPF </w:t>
            </w:r>
            <w:r>
              <w:rPr>
                <w:b/>
              </w:rPr>
              <w:t>COSAT Math Cut Points</w:t>
            </w:r>
          </w:p>
        </w:tc>
      </w:tr>
      <w:tr w:rsidR="002E5CDA" w:rsidTr="000F5F62">
        <w:tc>
          <w:tcPr>
            <w:tcW w:w="4675" w:type="dxa"/>
            <w:shd w:val="clear" w:color="auto" w:fill="FF0000"/>
          </w:tcPr>
          <w:p w:rsidR="002E5CDA" w:rsidRDefault="002E5CDA" w:rsidP="000F5F62">
            <w:pPr>
              <w:contextualSpacing/>
            </w:pPr>
            <w:r>
              <w:t>Does Not Meet</w:t>
            </w:r>
          </w:p>
        </w:tc>
        <w:tc>
          <w:tcPr>
            <w:tcW w:w="4675" w:type="dxa"/>
          </w:tcPr>
          <w:p w:rsidR="002E5CDA" w:rsidRDefault="002E5CDA" w:rsidP="000F5F62">
            <w:pPr>
              <w:contextualSpacing/>
            </w:pPr>
            <w:r>
              <w:t>&lt;399.8</w:t>
            </w:r>
          </w:p>
        </w:tc>
      </w:tr>
      <w:tr w:rsidR="002E5CDA" w:rsidTr="000F5F62">
        <w:tc>
          <w:tcPr>
            <w:tcW w:w="4675" w:type="dxa"/>
            <w:shd w:val="clear" w:color="auto" w:fill="FFC000"/>
          </w:tcPr>
          <w:p w:rsidR="002E5CDA" w:rsidRDefault="002E5CDA" w:rsidP="000F5F62">
            <w:pPr>
              <w:contextualSpacing/>
            </w:pPr>
            <w:r>
              <w:t>Approaching</w:t>
            </w:r>
          </w:p>
        </w:tc>
        <w:tc>
          <w:tcPr>
            <w:tcW w:w="4675" w:type="dxa"/>
          </w:tcPr>
          <w:p w:rsidR="002E5CDA" w:rsidRDefault="002E5CDA" w:rsidP="000F5F62">
            <w:pPr>
              <w:contextualSpacing/>
            </w:pPr>
            <w:r>
              <w:t>&lt;406.5 and &gt;=399.8</w:t>
            </w:r>
          </w:p>
        </w:tc>
      </w:tr>
      <w:tr w:rsidR="002E5CDA" w:rsidTr="000F5F62">
        <w:tc>
          <w:tcPr>
            <w:tcW w:w="4675" w:type="dxa"/>
            <w:shd w:val="clear" w:color="auto" w:fill="92D050"/>
          </w:tcPr>
          <w:p w:rsidR="002E5CDA" w:rsidRDefault="002E5CDA" w:rsidP="000F5F62">
            <w:pPr>
              <w:contextualSpacing/>
            </w:pPr>
            <w:r>
              <w:t>Meets</w:t>
            </w:r>
          </w:p>
        </w:tc>
        <w:tc>
          <w:tcPr>
            <w:tcW w:w="4675" w:type="dxa"/>
          </w:tcPr>
          <w:p w:rsidR="002E5CDA" w:rsidRDefault="002E5CDA" w:rsidP="000F5F62">
            <w:pPr>
              <w:contextualSpacing/>
            </w:pPr>
            <w:r>
              <w:t>&lt;424.3 and &gt;=406.5</w:t>
            </w:r>
          </w:p>
        </w:tc>
      </w:tr>
      <w:tr w:rsidR="002E5CDA" w:rsidTr="000F5F62">
        <w:tc>
          <w:tcPr>
            <w:tcW w:w="4675" w:type="dxa"/>
            <w:shd w:val="clear" w:color="auto" w:fill="00B0F0"/>
          </w:tcPr>
          <w:p w:rsidR="002E5CDA" w:rsidRDefault="002E5CDA" w:rsidP="000F5F62">
            <w:pPr>
              <w:contextualSpacing/>
            </w:pPr>
            <w:r>
              <w:t>Exceeds</w:t>
            </w:r>
          </w:p>
        </w:tc>
        <w:tc>
          <w:tcPr>
            <w:tcW w:w="4675" w:type="dxa"/>
          </w:tcPr>
          <w:p w:rsidR="002E5CDA" w:rsidRDefault="002E5CDA" w:rsidP="000F5F62">
            <w:pPr>
              <w:contextualSpacing/>
            </w:pPr>
            <w:r>
              <w:t>&gt;=424.3</w:t>
            </w:r>
          </w:p>
        </w:tc>
      </w:tr>
    </w:tbl>
    <w:p w:rsidR="002E5CDA" w:rsidRDefault="002E5CDA" w:rsidP="00ED6433">
      <w:pPr>
        <w:spacing w:line="240" w:lineRule="auto"/>
        <w:contextualSpacing/>
        <w:rPr>
          <w:b/>
        </w:rPr>
      </w:pPr>
    </w:p>
    <w:p w:rsidR="006567F1" w:rsidRDefault="00D83E11" w:rsidP="006567F1">
      <w:pPr>
        <w:spacing w:line="240" w:lineRule="auto"/>
        <w:contextualSpacing/>
      </w:pPr>
      <w:r>
        <w:rPr>
          <w:u w:val="single"/>
        </w:rPr>
        <w:lastRenderedPageBreak/>
        <w:t>EGHS</w:t>
      </w:r>
      <w:r w:rsidR="00C8384F">
        <w:rPr>
          <w:u w:val="single"/>
        </w:rPr>
        <w:t xml:space="preserve"> R</w:t>
      </w:r>
      <w:r w:rsidR="006567F1" w:rsidRPr="006567F1">
        <w:rPr>
          <w:u w:val="single"/>
        </w:rPr>
        <w:t>esults:</w:t>
      </w:r>
      <w:r w:rsidR="006567F1">
        <w:t xml:space="preserve"> Based on these cut points below</w:t>
      </w:r>
      <w:r>
        <w:t>, EGHS earned Approaching</w:t>
      </w:r>
      <w:r w:rsidR="00C8384F">
        <w:t xml:space="preserve"> for </w:t>
      </w:r>
      <w:r>
        <w:t xml:space="preserve">both </w:t>
      </w:r>
      <w:r w:rsidR="00C8384F">
        <w:t>EBRW and</w:t>
      </w:r>
      <w:r>
        <w:t xml:space="preserve"> Math based on a sample of 56</w:t>
      </w:r>
      <w:r w:rsidR="006567F1">
        <w:t xml:space="preserve"> students.</w:t>
      </w:r>
      <w:r>
        <w:t xml:space="preserve">  For EBRW, the school’s mean scale score for COSAT was 428.6 which place EGHS in the middle of the Approaching band.  For Math, their mean scale score was 406.4.  That result missed earning Meets by only .1%.</w:t>
      </w:r>
    </w:p>
    <w:p w:rsidR="006567F1" w:rsidRDefault="006567F1" w:rsidP="00ED6433">
      <w:pPr>
        <w:spacing w:line="240" w:lineRule="auto"/>
        <w:contextualSpacing/>
        <w:rPr>
          <w:b/>
        </w:rPr>
      </w:pPr>
    </w:p>
    <w:p w:rsidR="00D94932" w:rsidRDefault="00D94932" w:rsidP="00D94932">
      <w:pPr>
        <w:spacing w:line="240" w:lineRule="auto"/>
        <w:contextualSpacing/>
      </w:pPr>
      <w:r>
        <w:t>For the COSAT measures, cut points are set based on the distribution of performance for AECs across the state.  The cuts were set using the 40</w:t>
      </w:r>
      <w:r w:rsidRPr="00726FA3">
        <w:rPr>
          <w:vertAlign w:val="superscript"/>
        </w:rPr>
        <w:t>th</w:t>
      </w:r>
      <w:r>
        <w:t>, 60</w:t>
      </w:r>
      <w:r w:rsidRPr="00726FA3">
        <w:rPr>
          <w:vertAlign w:val="superscript"/>
        </w:rPr>
        <w:t>th</w:t>
      </w:r>
      <w:r>
        <w:t>, and 90</w:t>
      </w:r>
      <w:r w:rsidRPr="00726FA3">
        <w:rPr>
          <w:vertAlign w:val="superscript"/>
        </w:rPr>
        <w:t>th</w:t>
      </w:r>
      <w:r>
        <w:t xml:space="preserve"> percentile scores.</w:t>
      </w:r>
    </w:p>
    <w:p w:rsidR="00D94932" w:rsidRDefault="00D94932" w:rsidP="00ED6433">
      <w:pPr>
        <w:spacing w:line="240" w:lineRule="auto"/>
        <w:contextualSpacing/>
      </w:pPr>
    </w:p>
    <w:p w:rsidR="006567F1" w:rsidRPr="006567F1" w:rsidRDefault="006567F1" w:rsidP="00ED6433">
      <w:pPr>
        <w:spacing w:line="240" w:lineRule="auto"/>
        <w:contextualSpacing/>
        <w:rPr>
          <w:b/>
        </w:rPr>
      </w:pPr>
      <w:r w:rsidRPr="006567F1">
        <w:rPr>
          <w:b/>
        </w:rPr>
        <w:t>Completion Rate</w:t>
      </w:r>
    </w:p>
    <w:p w:rsidR="006567F1" w:rsidRDefault="006567F1" w:rsidP="00ED6433">
      <w:pPr>
        <w:spacing w:line="240" w:lineRule="auto"/>
        <w:contextualSpacing/>
      </w:pPr>
      <w:r w:rsidRPr="006567F1">
        <w:rPr>
          <w:u w:val="single"/>
        </w:rPr>
        <w:t>Methodology:</w:t>
      </w:r>
      <w:r>
        <w:t xml:space="preserve"> </w:t>
      </w:r>
      <w:r w:rsidR="00355174">
        <w:t xml:space="preserve">The CDE’s completion rate measure, much like the DPS version, is based on the school’s “Best-Of” completion rate for their 4 year, 5 year, 6 year, and 7 year cohorts.  It is important to note however, that like their other measures described above, this measure uses a pool of the three most recent years’ worth of completers to determine an aggregated completion rate.  For example, if a school had 75/100 students complete in 6 years in 2015, and 80/100 students complete in 6 years in 2016, and 85/100 students complete in 6 years in 2017, their aggregated 6 year cohort rate for the CDE’s measure would be 240/300 or 80%.  Whichever pooled cohort has the highest completion rate is the one that is used for the CDE’s measure.  </w:t>
      </w:r>
    </w:p>
    <w:p w:rsidR="00D94932" w:rsidRDefault="00D94932" w:rsidP="00ED6433">
      <w:pPr>
        <w:spacing w:line="240" w:lineRule="auto"/>
        <w:contextualSpacing/>
      </w:pPr>
    </w:p>
    <w:tbl>
      <w:tblPr>
        <w:tblStyle w:val="TableGrid"/>
        <w:tblW w:w="0" w:type="auto"/>
        <w:tblLook w:val="04A0" w:firstRow="1" w:lastRow="0" w:firstColumn="1" w:lastColumn="0" w:noHBand="0" w:noVBand="1"/>
      </w:tblPr>
      <w:tblGrid>
        <w:gridCol w:w="4675"/>
        <w:gridCol w:w="4675"/>
      </w:tblGrid>
      <w:tr w:rsidR="00D94932" w:rsidTr="000F5F62">
        <w:tc>
          <w:tcPr>
            <w:tcW w:w="9350" w:type="dxa"/>
            <w:gridSpan w:val="2"/>
            <w:shd w:val="clear" w:color="auto" w:fill="D0CECE" w:themeFill="background2" w:themeFillShade="E6"/>
          </w:tcPr>
          <w:p w:rsidR="00D94932" w:rsidRPr="00543C90" w:rsidRDefault="00D94932" w:rsidP="00D94932">
            <w:pPr>
              <w:contextualSpacing/>
              <w:jc w:val="center"/>
              <w:rPr>
                <w:b/>
              </w:rPr>
            </w:pPr>
            <w:r w:rsidRPr="00543C90">
              <w:rPr>
                <w:b/>
              </w:rPr>
              <w:t xml:space="preserve">State SPF </w:t>
            </w:r>
            <w:r>
              <w:rPr>
                <w:b/>
              </w:rPr>
              <w:t>Completion Rate Cut Points</w:t>
            </w:r>
          </w:p>
        </w:tc>
      </w:tr>
      <w:tr w:rsidR="00D94932" w:rsidTr="000F5F62">
        <w:tc>
          <w:tcPr>
            <w:tcW w:w="4675" w:type="dxa"/>
            <w:shd w:val="clear" w:color="auto" w:fill="FF0000"/>
          </w:tcPr>
          <w:p w:rsidR="00D94932" w:rsidRDefault="00D94932" w:rsidP="000F5F62">
            <w:pPr>
              <w:contextualSpacing/>
            </w:pPr>
            <w:r>
              <w:t>Does Not Meet</w:t>
            </w:r>
          </w:p>
        </w:tc>
        <w:tc>
          <w:tcPr>
            <w:tcW w:w="4675" w:type="dxa"/>
          </w:tcPr>
          <w:p w:rsidR="00D94932" w:rsidRDefault="00D94932" w:rsidP="000F5F62">
            <w:pPr>
              <w:contextualSpacing/>
            </w:pPr>
            <w:r>
              <w:t>&lt;40%</w:t>
            </w:r>
          </w:p>
        </w:tc>
      </w:tr>
      <w:tr w:rsidR="00D94932" w:rsidTr="000F5F62">
        <w:tc>
          <w:tcPr>
            <w:tcW w:w="4675" w:type="dxa"/>
            <w:shd w:val="clear" w:color="auto" w:fill="FFC000"/>
          </w:tcPr>
          <w:p w:rsidR="00D94932" w:rsidRDefault="00D94932" w:rsidP="000F5F62">
            <w:pPr>
              <w:contextualSpacing/>
            </w:pPr>
            <w:r>
              <w:t>Approaching</w:t>
            </w:r>
          </w:p>
        </w:tc>
        <w:tc>
          <w:tcPr>
            <w:tcW w:w="4675" w:type="dxa"/>
          </w:tcPr>
          <w:p w:rsidR="00D94932" w:rsidRDefault="00D94932" w:rsidP="000F5F62">
            <w:pPr>
              <w:contextualSpacing/>
            </w:pPr>
            <w:r>
              <w:t>&lt;49.5% and &gt;=40%</w:t>
            </w:r>
          </w:p>
        </w:tc>
      </w:tr>
      <w:tr w:rsidR="00D94932" w:rsidTr="000F5F62">
        <w:tc>
          <w:tcPr>
            <w:tcW w:w="4675" w:type="dxa"/>
            <w:shd w:val="clear" w:color="auto" w:fill="92D050"/>
          </w:tcPr>
          <w:p w:rsidR="00D94932" w:rsidRDefault="00D94932" w:rsidP="000F5F62">
            <w:pPr>
              <w:contextualSpacing/>
            </w:pPr>
            <w:r>
              <w:t>Meets</w:t>
            </w:r>
          </w:p>
        </w:tc>
        <w:tc>
          <w:tcPr>
            <w:tcW w:w="4675" w:type="dxa"/>
          </w:tcPr>
          <w:p w:rsidR="00D94932" w:rsidRDefault="00D94932" w:rsidP="000F5F62">
            <w:pPr>
              <w:contextualSpacing/>
            </w:pPr>
            <w:r>
              <w:t>&lt;69.4% and &gt;=49.5%</w:t>
            </w:r>
          </w:p>
        </w:tc>
      </w:tr>
      <w:tr w:rsidR="00D94932" w:rsidTr="000F5F62">
        <w:tc>
          <w:tcPr>
            <w:tcW w:w="4675" w:type="dxa"/>
            <w:shd w:val="clear" w:color="auto" w:fill="00B0F0"/>
          </w:tcPr>
          <w:p w:rsidR="00D94932" w:rsidRDefault="00D94932" w:rsidP="000F5F62">
            <w:pPr>
              <w:contextualSpacing/>
            </w:pPr>
            <w:r>
              <w:t>Exceeds</w:t>
            </w:r>
          </w:p>
        </w:tc>
        <w:tc>
          <w:tcPr>
            <w:tcW w:w="4675" w:type="dxa"/>
          </w:tcPr>
          <w:p w:rsidR="00D94932" w:rsidRDefault="00D94932" w:rsidP="000F5F62">
            <w:pPr>
              <w:contextualSpacing/>
            </w:pPr>
            <w:r>
              <w:t>&gt;=69.4%</w:t>
            </w:r>
          </w:p>
        </w:tc>
      </w:tr>
    </w:tbl>
    <w:p w:rsidR="00D94932" w:rsidRDefault="00D94932" w:rsidP="00ED6433">
      <w:pPr>
        <w:spacing w:line="240" w:lineRule="auto"/>
        <w:contextualSpacing/>
      </w:pPr>
    </w:p>
    <w:p w:rsidR="009E4C5E" w:rsidRDefault="00D83E11" w:rsidP="009E4C5E">
      <w:pPr>
        <w:spacing w:line="240" w:lineRule="auto"/>
      </w:pPr>
      <w:r>
        <w:rPr>
          <w:u w:val="single"/>
        </w:rPr>
        <w:t xml:space="preserve">EGHS </w:t>
      </w:r>
      <w:r w:rsidR="009E4C5E" w:rsidRPr="006567F1">
        <w:rPr>
          <w:u w:val="single"/>
        </w:rPr>
        <w:t>Results:</w:t>
      </w:r>
      <w:r w:rsidR="009E4C5E">
        <w:t xml:space="preserve"> </w:t>
      </w:r>
      <w:r>
        <w:t>Completion Rate was based on the large sample of over 1,300 students.  The completion rate of this student group was 41.1% which was just enough to push EGHS into the Approaching rating band.  The State’s report does not indicate which cohort year this result is based upon.</w:t>
      </w:r>
    </w:p>
    <w:p w:rsidR="002755A5" w:rsidRDefault="002755A5" w:rsidP="00ED6433">
      <w:pPr>
        <w:spacing w:line="240" w:lineRule="auto"/>
        <w:contextualSpacing/>
      </w:pPr>
    </w:p>
    <w:p w:rsidR="002755A5" w:rsidRPr="002755A5" w:rsidRDefault="002755A5" w:rsidP="00ED6433">
      <w:pPr>
        <w:spacing w:line="240" w:lineRule="auto"/>
        <w:contextualSpacing/>
        <w:rPr>
          <w:b/>
        </w:rPr>
      </w:pPr>
      <w:r w:rsidRPr="002755A5">
        <w:rPr>
          <w:b/>
        </w:rPr>
        <w:t>Dropout Rate</w:t>
      </w:r>
    </w:p>
    <w:p w:rsidR="002755A5" w:rsidRDefault="006567F1" w:rsidP="00ED6433">
      <w:pPr>
        <w:spacing w:line="240" w:lineRule="auto"/>
        <w:contextualSpacing/>
      </w:pPr>
      <w:r w:rsidRPr="002755A5">
        <w:rPr>
          <w:u w:val="single"/>
        </w:rPr>
        <w:t>Methodology:</w:t>
      </w:r>
      <w:r>
        <w:t xml:space="preserve"> </w:t>
      </w:r>
      <w:r w:rsidR="00D94932">
        <w:t xml:space="preserve">The last measure of the State’s AEC framework is Dropout Rate.  Similar to previous measures, the data source used for the CDE’s dropout rate measure is identical to that used on the DPS SPF with the exception of data pooling.  The CDE uses a three year data pool for this measure. </w:t>
      </w:r>
    </w:p>
    <w:p w:rsidR="00D94932" w:rsidRDefault="00D94932" w:rsidP="00ED6433">
      <w:pPr>
        <w:spacing w:line="240" w:lineRule="auto"/>
        <w:contextualSpacing/>
      </w:pPr>
      <w:r>
        <w:t xml:space="preserve"> </w:t>
      </w:r>
    </w:p>
    <w:tbl>
      <w:tblPr>
        <w:tblStyle w:val="TableGrid"/>
        <w:tblW w:w="0" w:type="auto"/>
        <w:tblLook w:val="04A0" w:firstRow="1" w:lastRow="0" w:firstColumn="1" w:lastColumn="0" w:noHBand="0" w:noVBand="1"/>
      </w:tblPr>
      <w:tblGrid>
        <w:gridCol w:w="4675"/>
        <w:gridCol w:w="4675"/>
      </w:tblGrid>
      <w:tr w:rsidR="00D94932" w:rsidTr="000F5F62">
        <w:tc>
          <w:tcPr>
            <w:tcW w:w="9350" w:type="dxa"/>
            <w:gridSpan w:val="2"/>
            <w:shd w:val="clear" w:color="auto" w:fill="D0CECE" w:themeFill="background2" w:themeFillShade="E6"/>
          </w:tcPr>
          <w:p w:rsidR="00D94932" w:rsidRPr="00543C90" w:rsidRDefault="00D94932" w:rsidP="000F5F62">
            <w:pPr>
              <w:contextualSpacing/>
              <w:jc w:val="center"/>
              <w:rPr>
                <w:b/>
              </w:rPr>
            </w:pPr>
            <w:r w:rsidRPr="00543C90">
              <w:rPr>
                <w:b/>
              </w:rPr>
              <w:t xml:space="preserve">State SPF </w:t>
            </w:r>
            <w:r>
              <w:rPr>
                <w:b/>
              </w:rPr>
              <w:t>Dropout Rate Cut Points</w:t>
            </w:r>
          </w:p>
        </w:tc>
      </w:tr>
      <w:tr w:rsidR="00D94932" w:rsidTr="000F5F62">
        <w:tc>
          <w:tcPr>
            <w:tcW w:w="4675" w:type="dxa"/>
            <w:shd w:val="clear" w:color="auto" w:fill="FF0000"/>
          </w:tcPr>
          <w:p w:rsidR="00D94932" w:rsidRDefault="00D94932" w:rsidP="000F5F62">
            <w:pPr>
              <w:contextualSpacing/>
            </w:pPr>
            <w:r>
              <w:t>Does Not Meet</w:t>
            </w:r>
          </w:p>
        </w:tc>
        <w:tc>
          <w:tcPr>
            <w:tcW w:w="4675" w:type="dxa"/>
          </w:tcPr>
          <w:p w:rsidR="00D94932" w:rsidRDefault="00D94932" w:rsidP="000F5F62">
            <w:pPr>
              <w:contextualSpacing/>
            </w:pPr>
            <w:r>
              <w:t>&gt;18.20%</w:t>
            </w:r>
          </w:p>
        </w:tc>
      </w:tr>
      <w:tr w:rsidR="00D94932" w:rsidTr="000F5F62">
        <w:tc>
          <w:tcPr>
            <w:tcW w:w="4675" w:type="dxa"/>
            <w:shd w:val="clear" w:color="auto" w:fill="FFC000"/>
          </w:tcPr>
          <w:p w:rsidR="00D94932" w:rsidRDefault="00D94932" w:rsidP="000F5F62">
            <w:pPr>
              <w:contextualSpacing/>
            </w:pPr>
            <w:r>
              <w:t>Approaching</w:t>
            </w:r>
          </w:p>
        </w:tc>
        <w:tc>
          <w:tcPr>
            <w:tcW w:w="4675" w:type="dxa"/>
          </w:tcPr>
          <w:p w:rsidR="00D94932" w:rsidRDefault="00D94932" w:rsidP="000F5F62">
            <w:pPr>
              <w:contextualSpacing/>
            </w:pPr>
            <w:r>
              <w:t>&gt;12.80% and &lt;=18.20%</w:t>
            </w:r>
          </w:p>
        </w:tc>
      </w:tr>
      <w:tr w:rsidR="00D94932" w:rsidTr="000F5F62">
        <w:tc>
          <w:tcPr>
            <w:tcW w:w="4675" w:type="dxa"/>
            <w:shd w:val="clear" w:color="auto" w:fill="92D050"/>
          </w:tcPr>
          <w:p w:rsidR="00D94932" w:rsidRDefault="00D94932" w:rsidP="000F5F62">
            <w:pPr>
              <w:contextualSpacing/>
            </w:pPr>
            <w:r>
              <w:t>Meets</w:t>
            </w:r>
          </w:p>
        </w:tc>
        <w:tc>
          <w:tcPr>
            <w:tcW w:w="4675" w:type="dxa"/>
          </w:tcPr>
          <w:p w:rsidR="00D94932" w:rsidRDefault="00D94932" w:rsidP="000F5F62">
            <w:pPr>
              <w:contextualSpacing/>
            </w:pPr>
            <w:r>
              <w:t>&lt;4.60% and &lt;=12.80%</w:t>
            </w:r>
          </w:p>
        </w:tc>
      </w:tr>
      <w:tr w:rsidR="00D94932" w:rsidTr="000F5F62">
        <w:tc>
          <w:tcPr>
            <w:tcW w:w="4675" w:type="dxa"/>
            <w:shd w:val="clear" w:color="auto" w:fill="00B0F0"/>
          </w:tcPr>
          <w:p w:rsidR="00D94932" w:rsidRDefault="00D94932" w:rsidP="000F5F62">
            <w:pPr>
              <w:contextualSpacing/>
            </w:pPr>
            <w:r>
              <w:t>Exceeds</w:t>
            </w:r>
          </w:p>
        </w:tc>
        <w:tc>
          <w:tcPr>
            <w:tcW w:w="4675" w:type="dxa"/>
          </w:tcPr>
          <w:p w:rsidR="00D94932" w:rsidRDefault="00D94932" w:rsidP="000F5F62">
            <w:pPr>
              <w:contextualSpacing/>
            </w:pPr>
            <w:r>
              <w:t>&lt;=4.60%</w:t>
            </w:r>
          </w:p>
        </w:tc>
      </w:tr>
    </w:tbl>
    <w:p w:rsidR="002755A5" w:rsidRDefault="002755A5" w:rsidP="00D94932">
      <w:pPr>
        <w:spacing w:line="240" w:lineRule="auto"/>
        <w:contextualSpacing/>
      </w:pPr>
    </w:p>
    <w:p w:rsidR="009E4C5E" w:rsidRDefault="00D83E11" w:rsidP="009E4C5E">
      <w:pPr>
        <w:spacing w:line="240" w:lineRule="auto"/>
      </w:pPr>
      <w:r>
        <w:rPr>
          <w:u w:val="single"/>
        </w:rPr>
        <w:t>EGHS</w:t>
      </w:r>
      <w:r w:rsidR="009E4C5E" w:rsidRPr="006567F1">
        <w:rPr>
          <w:u w:val="single"/>
        </w:rPr>
        <w:t xml:space="preserve"> Results:</w:t>
      </w:r>
      <w:r w:rsidR="008C3D18">
        <w:t xml:space="preserve"> When rated based on this pooled data, Emily Griffith earned a Does Not Meet rating for this measure with a dropout rate of 43.8%.  This is significantly higher than the minimum rate needed to earn Approaching of 18.20%</w:t>
      </w:r>
    </w:p>
    <w:p w:rsidR="002755A5" w:rsidRDefault="002755A5" w:rsidP="00D94932">
      <w:pPr>
        <w:spacing w:line="240" w:lineRule="auto"/>
        <w:contextualSpacing/>
      </w:pPr>
    </w:p>
    <w:p w:rsidR="00D94932" w:rsidRDefault="00D94932" w:rsidP="00ED6433">
      <w:pPr>
        <w:spacing w:line="240" w:lineRule="auto"/>
        <w:contextualSpacing/>
      </w:pPr>
      <w:r>
        <w:t xml:space="preserve">For both measures, the cut points were set based off the distribution of the data for all AECs across </w:t>
      </w:r>
      <w:r w:rsidR="0010355F">
        <w:t xml:space="preserve">Colorado </w:t>
      </w:r>
      <w:r>
        <w:t>as of 2016.  The values seen in these cuts align to the 40</w:t>
      </w:r>
      <w:r w:rsidRPr="00726FA3">
        <w:rPr>
          <w:vertAlign w:val="superscript"/>
        </w:rPr>
        <w:t>th</w:t>
      </w:r>
      <w:r>
        <w:t>, 60</w:t>
      </w:r>
      <w:r w:rsidRPr="00726FA3">
        <w:rPr>
          <w:vertAlign w:val="superscript"/>
        </w:rPr>
        <w:t>th</w:t>
      </w:r>
      <w:r>
        <w:t>, and 90</w:t>
      </w:r>
      <w:r w:rsidRPr="00726FA3">
        <w:rPr>
          <w:vertAlign w:val="superscript"/>
        </w:rPr>
        <w:t>th</w:t>
      </w:r>
      <w:r>
        <w:t xml:space="preserve"> percentile scores just like th</w:t>
      </w:r>
      <w:r w:rsidR="009451C6">
        <w:t>e Academic Achievement measures</w:t>
      </w:r>
      <w:bookmarkStart w:id="0" w:name="_GoBack"/>
      <w:bookmarkEnd w:id="0"/>
      <w:r w:rsidR="009451C6">
        <w:t>.</w:t>
      </w:r>
    </w:p>
    <w:p w:rsidR="002755A5" w:rsidRPr="00A23D62" w:rsidRDefault="002755A5" w:rsidP="00ED6433">
      <w:pPr>
        <w:spacing w:line="240" w:lineRule="auto"/>
        <w:contextualSpacing/>
        <w:rPr>
          <w:b/>
        </w:rPr>
      </w:pPr>
      <w:r w:rsidRPr="00A23D62">
        <w:rPr>
          <w:b/>
        </w:rPr>
        <w:lastRenderedPageBreak/>
        <w:t>Summary</w:t>
      </w:r>
      <w:r w:rsidR="009451C6">
        <w:rPr>
          <w:b/>
        </w:rPr>
        <w:t xml:space="preserve"> of Why There’s a Difference in </w:t>
      </w:r>
      <w:r w:rsidRPr="00A23D62">
        <w:rPr>
          <w:b/>
        </w:rPr>
        <w:t>Ratings</w:t>
      </w:r>
    </w:p>
    <w:p w:rsidR="00092A0D" w:rsidRPr="00355174" w:rsidRDefault="00092A0D" w:rsidP="00092A0D">
      <w:pPr>
        <w:spacing w:line="240" w:lineRule="auto"/>
        <w:contextualSpacing/>
      </w:pPr>
      <w:r>
        <w:t xml:space="preserve">The discrepancy between how the State and how DPS have rated </w:t>
      </w:r>
      <w:r w:rsidR="008C3D18">
        <w:t xml:space="preserve">Emily Griffith </w:t>
      </w:r>
      <w:r w:rsidR="009E4C5E">
        <w:t>High School</w:t>
      </w:r>
      <w:r>
        <w:t xml:space="preserve"> is largely driven by four factors.  First, the CDE’s framework uses much more restrictive eligibility requirements.  In order to be in most of the school’s measure on the State’s SPF, a student has to be continuously enrolled at the school from October through April.  This omits significantly more students form the measure than the DPS SPF’s 40 instructional days which requires roughly two months of enrollment to be a part of a measure.  Second, the State SPF only has 11 measures compared to the DPS framework’s 19.  With optional measures the DPS SPF could have as many as 24 possible measures.  This gives school’s more variety in their measures and more opportunities to demonstrate progress.  Third, the relative weight of indicators of the State SPF is very different.  The DPS SPF is heavily focused on Growth with it being weighted 2.7 times more heavily than Status and 2.3 times more heavily than PSR data in a school’s final rating.  By comparison, CDE weights Academic Growth 2.3 times more heavily than Academic Achievement, but weights Postsecondary &amp; Workforce Readiness almost equally.  Fourth, the State’s methodology uses three years of pooled data for all measures whereas the DPS only does so for assessment-based measures like MAP, PSAT, and SAT.  Adding additional years of data to the other measures shared between frameworks can fundamentally shift schools’ results and introduce variation into ratings.  A final, more minor, difference in the two frameworks is that the CDE has already dropped all CMAS data from their 3 year data pool, while the DPS SPF continues to include those data points. </w:t>
      </w:r>
    </w:p>
    <w:p w:rsidR="002755A5" w:rsidRPr="00355174" w:rsidRDefault="002755A5" w:rsidP="00092A0D">
      <w:pPr>
        <w:spacing w:line="240" w:lineRule="auto"/>
        <w:contextualSpacing/>
      </w:pPr>
    </w:p>
    <w:sectPr w:rsidR="002755A5" w:rsidRPr="0035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8413F"/>
    <w:multiLevelType w:val="hybridMultilevel"/>
    <w:tmpl w:val="919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416BF"/>
    <w:multiLevelType w:val="hybridMultilevel"/>
    <w:tmpl w:val="9CE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AE"/>
    <w:rsid w:val="00092A0D"/>
    <w:rsid w:val="0010355F"/>
    <w:rsid w:val="00124205"/>
    <w:rsid w:val="001D0BF8"/>
    <w:rsid w:val="002079CC"/>
    <w:rsid w:val="002755A5"/>
    <w:rsid w:val="002A101D"/>
    <w:rsid w:val="002B7BB4"/>
    <w:rsid w:val="002E329C"/>
    <w:rsid w:val="002E5CDA"/>
    <w:rsid w:val="00355174"/>
    <w:rsid w:val="00543C90"/>
    <w:rsid w:val="005A2892"/>
    <w:rsid w:val="0061262E"/>
    <w:rsid w:val="006567F1"/>
    <w:rsid w:val="00726FA3"/>
    <w:rsid w:val="007D5393"/>
    <w:rsid w:val="00805E70"/>
    <w:rsid w:val="00872E34"/>
    <w:rsid w:val="008A466E"/>
    <w:rsid w:val="008C3D18"/>
    <w:rsid w:val="009451C6"/>
    <w:rsid w:val="00973259"/>
    <w:rsid w:val="009A7E8E"/>
    <w:rsid w:val="009E4C5E"/>
    <w:rsid w:val="00A23D62"/>
    <w:rsid w:val="00B67BCC"/>
    <w:rsid w:val="00C8384F"/>
    <w:rsid w:val="00CB57EC"/>
    <w:rsid w:val="00D007AE"/>
    <w:rsid w:val="00D83E11"/>
    <w:rsid w:val="00D94932"/>
    <w:rsid w:val="00E756F4"/>
    <w:rsid w:val="00E84908"/>
    <w:rsid w:val="00E9162A"/>
    <w:rsid w:val="00ED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A627"/>
  <w15:chartTrackingRefBased/>
  <w15:docId w15:val="{59863095-74C5-4F5B-8900-CCB403DA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AE"/>
    <w:pPr>
      <w:ind w:left="720"/>
      <w:contextualSpacing/>
    </w:pPr>
  </w:style>
  <w:style w:type="table" w:styleId="TableGrid">
    <w:name w:val="Table Grid"/>
    <w:basedOn w:val="TableNormal"/>
    <w:uiPriority w:val="39"/>
    <w:rsid w:val="0054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CC"/>
    <w:rPr>
      <w:rFonts w:ascii="Segoe UI" w:hAnsi="Segoe UI" w:cs="Segoe UI"/>
      <w:sz w:val="18"/>
      <w:szCs w:val="18"/>
    </w:rPr>
  </w:style>
  <w:style w:type="character" w:styleId="CommentReference">
    <w:name w:val="annotation reference"/>
    <w:basedOn w:val="DefaultParagraphFont"/>
    <w:uiPriority w:val="99"/>
    <w:semiHidden/>
    <w:unhideWhenUsed/>
    <w:rsid w:val="00B67BCC"/>
    <w:rPr>
      <w:sz w:val="16"/>
      <w:szCs w:val="16"/>
    </w:rPr>
  </w:style>
  <w:style w:type="paragraph" w:styleId="CommentText">
    <w:name w:val="annotation text"/>
    <w:basedOn w:val="Normal"/>
    <w:link w:val="CommentTextChar"/>
    <w:uiPriority w:val="99"/>
    <w:semiHidden/>
    <w:unhideWhenUsed/>
    <w:rsid w:val="00B67BCC"/>
    <w:pPr>
      <w:spacing w:line="240" w:lineRule="auto"/>
    </w:pPr>
    <w:rPr>
      <w:sz w:val="20"/>
      <w:szCs w:val="20"/>
    </w:rPr>
  </w:style>
  <w:style w:type="character" w:customStyle="1" w:styleId="CommentTextChar">
    <w:name w:val="Comment Text Char"/>
    <w:basedOn w:val="DefaultParagraphFont"/>
    <w:link w:val="CommentText"/>
    <w:uiPriority w:val="99"/>
    <w:semiHidden/>
    <w:rsid w:val="00B67BCC"/>
    <w:rPr>
      <w:sz w:val="20"/>
      <w:szCs w:val="20"/>
    </w:rPr>
  </w:style>
  <w:style w:type="paragraph" w:styleId="CommentSubject">
    <w:name w:val="annotation subject"/>
    <w:basedOn w:val="CommentText"/>
    <w:next w:val="CommentText"/>
    <w:link w:val="CommentSubjectChar"/>
    <w:uiPriority w:val="99"/>
    <w:semiHidden/>
    <w:unhideWhenUsed/>
    <w:rsid w:val="00B67BCC"/>
    <w:rPr>
      <w:b/>
      <w:bCs/>
    </w:rPr>
  </w:style>
  <w:style w:type="character" w:customStyle="1" w:styleId="CommentSubjectChar">
    <w:name w:val="Comment Subject Char"/>
    <w:basedOn w:val="CommentTextChar"/>
    <w:link w:val="CommentSubject"/>
    <w:uiPriority w:val="99"/>
    <w:semiHidden/>
    <w:rsid w:val="00B67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Sholtis, Emily</dc:creator>
  <cp:keywords/>
  <dc:description/>
  <cp:lastModifiedBy>Sholtis, Emily</cp:lastModifiedBy>
  <cp:revision>5</cp:revision>
  <dcterms:created xsi:type="dcterms:W3CDTF">2018-10-23T17:52:00Z</dcterms:created>
  <dcterms:modified xsi:type="dcterms:W3CDTF">2018-10-23T20:23:00Z</dcterms:modified>
</cp:coreProperties>
</file>